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0B537D12" w:rsidR="00A160B2" w:rsidRDefault="00134517" w:rsidP="006C3150">
            <w:pPr>
              <w:pStyle w:val="Infotext"/>
              <w:rPr>
                <w:rFonts w:cs="Arial"/>
              </w:rPr>
            </w:pPr>
            <w:r>
              <w:rPr>
                <w:rFonts w:cs="Arial"/>
              </w:rPr>
              <w:t>1 December</w:t>
            </w:r>
            <w:r w:rsidR="00A5339D">
              <w:rPr>
                <w:rFonts w:cs="Arial"/>
              </w:rPr>
              <w:t xml:space="preserve"> 2022</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196CFFAA" w14:textId="77777777" w:rsidR="00A160B2" w:rsidRDefault="0075166A" w:rsidP="00CE4DD2">
            <w:pPr>
              <w:pStyle w:val="Infotext"/>
              <w:rPr>
                <w:rFonts w:cs="Arial"/>
              </w:rPr>
            </w:pPr>
            <w:r>
              <w:rPr>
                <w:rFonts w:cs="Arial"/>
              </w:rPr>
              <w:t>Review of Pension Fund Committee Items</w:t>
            </w:r>
          </w:p>
          <w:p w14:paraId="5914456E" w14:textId="5C8FF313" w:rsidR="00DF2F30" w:rsidRDefault="00DF2F30"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2D2A1AF8" w14:textId="77777777" w:rsidR="00A160B2" w:rsidRDefault="00CE4DD2" w:rsidP="00CE4DD2">
            <w:pPr>
              <w:pStyle w:val="Infotext"/>
              <w:rPr>
                <w:rFonts w:cs="Arial"/>
              </w:rPr>
            </w:pPr>
            <w:r>
              <w:rPr>
                <w:rFonts w:cs="Arial"/>
              </w:rPr>
              <w:t>Dawn Calvert – Director of Finance and Assurance</w:t>
            </w:r>
          </w:p>
          <w:p w14:paraId="3CF266C9" w14:textId="3C914C55" w:rsidR="00DF2F30" w:rsidRDefault="00DF2F30"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74FCEEEF" w14:textId="7A5F4A6F" w:rsidR="00110A2F" w:rsidRPr="00E56213" w:rsidRDefault="00A5339D" w:rsidP="00110A2F">
            <w:pPr>
              <w:jc w:val="both"/>
              <w:rPr>
                <w:rFonts w:cs="Arial"/>
                <w:sz w:val="28"/>
                <w:szCs w:val="28"/>
              </w:rPr>
            </w:pPr>
            <w:r>
              <w:rPr>
                <w:rFonts w:cs="Arial"/>
                <w:sz w:val="28"/>
                <w:szCs w:val="28"/>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24B98948" w:rsidR="00A160B2" w:rsidRPr="00DF2F30" w:rsidRDefault="004B5D7B" w:rsidP="006C3150">
            <w:pPr>
              <w:pStyle w:val="Infotext"/>
              <w:rPr>
                <w:bCs/>
              </w:rPr>
            </w:pPr>
            <w:r w:rsidRPr="00DF2F30">
              <w:rPr>
                <w:bCs/>
              </w:rPr>
              <w:t>Not applicable</w:t>
            </w:r>
          </w:p>
        </w:tc>
      </w:tr>
      <w:tr w:rsidR="00A160B2" w14:paraId="7C35C184" w14:textId="77777777" w:rsidTr="00A360D6">
        <w:tc>
          <w:tcPr>
            <w:tcW w:w="3397"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23A58528" w14:textId="31F2684E" w:rsidR="00A160B2" w:rsidRDefault="00933709" w:rsidP="006C3150">
            <w:pPr>
              <w:pStyle w:val="Infotext"/>
            </w:pPr>
            <w:r>
              <w:t xml:space="preserve">Appendix 1 – Pension Fund Valuation </w:t>
            </w:r>
            <w:proofErr w:type="gramStart"/>
            <w:r>
              <w:t>at</w:t>
            </w:r>
            <w:proofErr w:type="gramEnd"/>
            <w:r>
              <w:t xml:space="preserve"> 3</w:t>
            </w:r>
            <w:r w:rsidR="00134517">
              <w:t>0 September</w:t>
            </w:r>
            <w:r w:rsidR="00AB54A5">
              <w:t xml:space="preserve"> 2022</w:t>
            </w:r>
          </w:p>
          <w:p w14:paraId="4C232B02" w14:textId="68A8B197" w:rsidR="0049221F" w:rsidRDefault="0049221F" w:rsidP="00A5339D">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3AE58E1E" w14:textId="377CE540" w:rsidR="0075166A" w:rsidRPr="008658CB" w:rsidRDefault="0075166A" w:rsidP="0075166A">
            <w:r w:rsidRPr="008658CB">
              <w:t xml:space="preserve">This </w:t>
            </w:r>
            <w:r w:rsidRPr="00A154D4">
              <w:t xml:space="preserve">report </w:t>
            </w:r>
            <w:r>
              <w:t>summarises</w:t>
            </w:r>
            <w:r w:rsidRPr="00A154D4">
              <w:t xml:space="preserve"> the matters </w:t>
            </w:r>
            <w:r w:rsidR="00C40270">
              <w:t xml:space="preserve">to be </w:t>
            </w:r>
            <w:r w:rsidRPr="00A154D4">
              <w:t xml:space="preserve">considered by the Pension Fund Committee at </w:t>
            </w:r>
            <w:r>
              <w:t xml:space="preserve">its </w:t>
            </w:r>
            <w:r w:rsidR="00A5339D">
              <w:t>next</w:t>
            </w:r>
            <w:r w:rsidRPr="00A154D4">
              <w:t xml:space="preserve"> meeting on </w:t>
            </w:r>
            <w:r w:rsidR="00134517">
              <w:t>23 November</w:t>
            </w:r>
            <w:r w:rsidR="00A5339D">
              <w:t xml:space="preserve"> </w:t>
            </w:r>
            <w:r>
              <w:t>202</w:t>
            </w:r>
            <w:r w:rsidR="00A5339D">
              <w:t>2</w:t>
            </w:r>
            <w:r w:rsidR="00ED1007">
              <w:t xml:space="preserve"> and </w:t>
            </w:r>
            <w:r w:rsidRPr="00A154D4">
              <w:t xml:space="preserve">invites the Board to agree any comments </w:t>
            </w:r>
            <w:r>
              <w:t>they</w:t>
            </w:r>
            <w:r w:rsidRPr="00A154D4">
              <w:t xml:space="preserve"> might wish to make to</w:t>
            </w:r>
            <w:r>
              <w:t xml:space="preserve"> the Pension Fund Committee.</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3E883939" w:rsidR="00A160B2" w:rsidRDefault="0075166A" w:rsidP="00A160B2">
            <w:r>
              <w:t xml:space="preserve">The </w:t>
            </w:r>
            <w:r>
              <w:rPr>
                <w:rFonts w:cs="Arial"/>
                <w:szCs w:val="24"/>
              </w:rPr>
              <w:t>Board</w:t>
            </w:r>
            <w:r w:rsidRPr="0076456E">
              <w:rPr>
                <w:rFonts w:cs="Arial"/>
                <w:szCs w:val="24"/>
              </w:rPr>
              <w:t xml:space="preserve"> </w:t>
            </w:r>
            <w:r>
              <w:rPr>
                <w:rFonts w:cs="Arial"/>
                <w:szCs w:val="24"/>
              </w:rPr>
              <w:t>is requested to note the report and comment as necessary</w:t>
            </w:r>
            <w:r w:rsidR="00A360D6" w:rsidRPr="002D3381">
              <w:rPr>
                <w:szCs w:val="24"/>
              </w:rPr>
              <w:t>.</w:t>
            </w:r>
          </w:p>
        </w:tc>
      </w:tr>
    </w:tbl>
    <w:p w14:paraId="53DC7DE2" w14:textId="4895C731" w:rsidR="002A2389" w:rsidRDefault="002A2389" w:rsidP="00A160B2">
      <w:pPr>
        <w:pStyle w:val="Heading2"/>
      </w:pPr>
      <w:r>
        <w:t>Section 2 – Report</w:t>
      </w:r>
    </w:p>
    <w:p w14:paraId="350774EC" w14:textId="77777777" w:rsidR="00134517" w:rsidRPr="00134517" w:rsidRDefault="00134517" w:rsidP="00134517"/>
    <w:p w14:paraId="5784292B" w14:textId="7098F545" w:rsidR="00C40270" w:rsidRDefault="00C40270" w:rsidP="00AD3E1C">
      <w:pPr>
        <w:numPr>
          <w:ilvl w:val="0"/>
          <w:numId w:val="16"/>
        </w:numPr>
        <w:jc w:val="both"/>
      </w:pPr>
      <w:r>
        <w:t xml:space="preserve">The Pension Fund </w:t>
      </w:r>
      <w:r w:rsidR="00134517">
        <w:t>C</w:t>
      </w:r>
      <w:r>
        <w:t>ommittee meeting</w:t>
      </w:r>
      <w:r w:rsidR="00134517">
        <w:t xml:space="preserve"> is on 23 November 2022. At the time of publishing this agenda the meeting had not taken place – an update on decisions taken will be provided. </w:t>
      </w:r>
      <w:r>
        <w:t xml:space="preserve"> </w:t>
      </w:r>
      <w:r w:rsidR="00134517">
        <w:t>Before the meeting, the slot allocated for development of members’ knowledge and skills (training) will include a briefing on the audit process for the Pension Fund Annual Report and Accounts 2021/22 which will be given by Paddy Saad, Audit Manager, Mazars LLP.</w:t>
      </w:r>
    </w:p>
    <w:p w14:paraId="6146C4C2" w14:textId="1ACD8BCE" w:rsidR="00134517" w:rsidRDefault="00134517">
      <w:r>
        <w:br w:type="page"/>
      </w:r>
    </w:p>
    <w:p w14:paraId="5A790D1D" w14:textId="77777777" w:rsidR="00134517" w:rsidRDefault="00134517" w:rsidP="00134517">
      <w:pPr>
        <w:ind w:left="720"/>
        <w:jc w:val="both"/>
      </w:pPr>
    </w:p>
    <w:p w14:paraId="32610839" w14:textId="76FFAF18" w:rsidR="0075166A" w:rsidRPr="00DF2F30" w:rsidRDefault="00ED1007" w:rsidP="000C75A3">
      <w:pPr>
        <w:numPr>
          <w:ilvl w:val="0"/>
          <w:numId w:val="16"/>
        </w:numPr>
        <w:jc w:val="both"/>
        <w:rPr>
          <w:bCs/>
          <w:szCs w:val="24"/>
        </w:rPr>
      </w:pPr>
      <w:r>
        <w:t>A</w:t>
      </w:r>
      <w:r w:rsidR="0075166A" w:rsidRPr="00DF2F30">
        <w:rPr>
          <w:bCs/>
          <w:szCs w:val="24"/>
        </w:rPr>
        <w:t xml:space="preserve">t its meeting on </w:t>
      </w:r>
      <w:r w:rsidR="00134517" w:rsidRPr="00DF2F30">
        <w:rPr>
          <w:bCs/>
          <w:szCs w:val="24"/>
        </w:rPr>
        <w:t>23 November</w:t>
      </w:r>
      <w:r w:rsidR="00A5339D" w:rsidRPr="00DF2F30">
        <w:rPr>
          <w:bCs/>
          <w:szCs w:val="24"/>
        </w:rPr>
        <w:t xml:space="preserve"> 2022 </w:t>
      </w:r>
      <w:r w:rsidRPr="00DF2F30">
        <w:rPr>
          <w:bCs/>
          <w:szCs w:val="24"/>
        </w:rPr>
        <w:t xml:space="preserve">the Committee </w:t>
      </w:r>
      <w:r w:rsidR="00C40270" w:rsidRPr="00DF2F30">
        <w:rPr>
          <w:bCs/>
          <w:szCs w:val="24"/>
        </w:rPr>
        <w:t>will consider</w:t>
      </w:r>
      <w:r w:rsidRPr="00DF2F30">
        <w:rPr>
          <w:bCs/>
          <w:szCs w:val="24"/>
        </w:rPr>
        <w:t xml:space="preserve"> the following items</w:t>
      </w:r>
      <w:r w:rsidR="00DF2F30" w:rsidRPr="00DF2F30">
        <w:rPr>
          <w:bCs/>
          <w:szCs w:val="24"/>
        </w:rPr>
        <w:t>:</w:t>
      </w:r>
    </w:p>
    <w:p w14:paraId="4F8545BB" w14:textId="77777777" w:rsidR="0075166A" w:rsidRPr="00AF03DC" w:rsidRDefault="0075166A" w:rsidP="0075166A">
      <w:pPr>
        <w:ind w:left="720"/>
        <w:rPr>
          <w:bCs/>
          <w:szCs w:val="24"/>
          <w:highlight w:val="yellow"/>
        </w:rPr>
      </w:pPr>
    </w:p>
    <w:tbl>
      <w:tblPr>
        <w:tblStyle w:val="TableGrid"/>
        <w:tblW w:w="0" w:type="auto"/>
        <w:tblInd w:w="720" w:type="dxa"/>
        <w:tblLook w:val="04A0" w:firstRow="1" w:lastRow="0" w:firstColumn="1" w:lastColumn="0" w:noHBand="0" w:noVBand="1"/>
      </w:tblPr>
      <w:tblGrid>
        <w:gridCol w:w="2961"/>
        <w:gridCol w:w="4618"/>
      </w:tblGrid>
      <w:tr w:rsidR="0075166A" w:rsidRPr="00ED1007" w14:paraId="41499451" w14:textId="77777777" w:rsidTr="00ED1007">
        <w:tc>
          <w:tcPr>
            <w:tcW w:w="2961" w:type="dxa"/>
            <w:shd w:val="clear" w:color="auto" w:fill="auto"/>
          </w:tcPr>
          <w:p w14:paraId="46D0EB4E" w14:textId="77777777" w:rsidR="0075166A" w:rsidRPr="00ED1007" w:rsidRDefault="0075166A" w:rsidP="00FC33FC">
            <w:pPr>
              <w:rPr>
                <w:b/>
                <w:szCs w:val="24"/>
              </w:rPr>
            </w:pPr>
            <w:r w:rsidRPr="00ED1007">
              <w:rPr>
                <w:b/>
                <w:szCs w:val="24"/>
              </w:rPr>
              <w:t>Report</w:t>
            </w:r>
          </w:p>
        </w:tc>
        <w:tc>
          <w:tcPr>
            <w:tcW w:w="4618" w:type="dxa"/>
            <w:shd w:val="clear" w:color="auto" w:fill="auto"/>
          </w:tcPr>
          <w:p w14:paraId="57DFD70B" w14:textId="77777777" w:rsidR="0075166A" w:rsidRPr="00ED1007" w:rsidRDefault="0075166A" w:rsidP="00FC33FC">
            <w:pPr>
              <w:rPr>
                <w:b/>
                <w:szCs w:val="24"/>
              </w:rPr>
            </w:pPr>
            <w:r w:rsidRPr="00ED1007">
              <w:rPr>
                <w:b/>
                <w:szCs w:val="24"/>
              </w:rPr>
              <w:t>Comments</w:t>
            </w:r>
          </w:p>
        </w:tc>
      </w:tr>
      <w:tr w:rsidR="0075166A" w:rsidRPr="00ED1007" w14:paraId="25073024" w14:textId="77777777" w:rsidTr="00ED1007">
        <w:tc>
          <w:tcPr>
            <w:tcW w:w="2961" w:type="dxa"/>
            <w:shd w:val="clear" w:color="auto" w:fill="auto"/>
          </w:tcPr>
          <w:p w14:paraId="3ECBC0AA" w14:textId="77777777" w:rsidR="0075166A" w:rsidRPr="00ED1007" w:rsidRDefault="0075166A" w:rsidP="00FC33FC">
            <w:pPr>
              <w:rPr>
                <w:b/>
                <w:szCs w:val="24"/>
              </w:rPr>
            </w:pPr>
            <w:r w:rsidRPr="00ED1007">
              <w:rPr>
                <w:b/>
                <w:szCs w:val="24"/>
              </w:rPr>
              <w:t>Part I</w:t>
            </w:r>
          </w:p>
        </w:tc>
        <w:tc>
          <w:tcPr>
            <w:tcW w:w="4618" w:type="dxa"/>
            <w:shd w:val="clear" w:color="auto" w:fill="auto"/>
          </w:tcPr>
          <w:p w14:paraId="29AB2069" w14:textId="77777777" w:rsidR="0075166A" w:rsidRPr="00ED1007" w:rsidRDefault="0075166A" w:rsidP="00FC33FC">
            <w:pPr>
              <w:rPr>
                <w:bCs/>
                <w:szCs w:val="24"/>
              </w:rPr>
            </w:pPr>
          </w:p>
        </w:tc>
      </w:tr>
      <w:tr w:rsidR="0075166A" w:rsidRPr="00ED1007" w14:paraId="16044C78" w14:textId="77777777" w:rsidTr="00FC33FC">
        <w:tc>
          <w:tcPr>
            <w:tcW w:w="2961" w:type="dxa"/>
          </w:tcPr>
          <w:p w14:paraId="360DDD1A" w14:textId="77777777" w:rsidR="0075166A" w:rsidRPr="00ED1007" w:rsidRDefault="0075166A" w:rsidP="00FC33FC">
            <w:pPr>
              <w:rPr>
                <w:bCs/>
                <w:szCs w:val="24"/>
              </w:rPr>
            </w:pPr>
            <w:r w:rsidRPr="00ED1007">
              <w:t>Performance Dashboard and Update on Regular items</w:t>
            </w:r>
          </w:p>
        </w:tc>
        <w:tc>
          <w:tcPr>
            <w:tcW w:w="4618" w:type="dxa"/>
          </w:tcPr>
          <w:p w14:paraId="79AA2BAF" w14:textId="39AEA92A" w:rsidR="0075166A" w:rsidRPr="00ED1007" w:rsidRDefault="004B5D7B" w:rsidP="00FC33FC">
            <w:pPr>
              <w:rPr>
                <w:bCs/>
                <w:szCs w:val="24"/>
              </w:rPr>
            </w:pPr>
            <w:r w:rsidRPr="00ED1007">
              <w:rPr>
                <w:bCs/>
                <w:szCs w:val="24"/>
              </w:rPr>
              <w:t>The Committee</w:t>
            </w:r>
            <w:r w:rsidR="00A5339D" w:rsidRPr="00ED1007">
              <w:rPr>
                <w:bCs/>
                <w:szCs w:val="24"/>
              </w:rPr>
              <w:t xml:space="preserve"> </w:t>
            </w:r>
            <w:r w:rsidR="00C40270">
              <w:rPr>
                <w:bCs/>
                <w:szCs w:val="24"/>
              </w:rPr>
              <w:t xml:space="preserve">will review </w:t>
            </w:r>
            <w:r w:rsidR="0075166A" w:rsidRPr="00ED1007">
              <w:rPr>
                <w:bCs/>
                <w:szCs w:val="24"/>
              </w:rPr>
              <w:t xml:space="preserve">the position of the Fund at </w:t>
            </w:r>
            <w:r w:rsidR="00F1403C" w:rsidRPr="00ED1007">
              <w:rPr>
                <w:bCs/>
                <w:szCs w:val="24"/>
              </w:rPr>
              <w:t xml:space="preserve">the end of </w:t>
            </w:r>
            <w:r w:rsidR="00134517">
              <w:rPr>
                <w:bCs/>
                <w:szCs w:val="24"/>
              </w:rPr>
              <w:t>Q3</w:t>
            </w:r>
            <w:r w:rsidR="00F1403C" w:rsidRPr="00ED1007">
              <w:rPr>
                <w:bCs/>
                <w:szCs w:val="24"/>
              </w:rPr>
              <w:t xml:space="preserve"> 202</w:t>
            </w:r>
            <w:r w:rsidR="00C40270">
              <w:rPr>
                <w:bCs/>
                <w:szCs w:val="24"/>
              </w:rPr>
              <w:t>2</w:t>
            </w:r>
            <w:r w:rsidR="00F1403C" w:rsidRPr="00ED1007">
              <w:rPr>
                <w:bCs/>
                <w:szCs w:val="24"/>
              </w:rPr>
              <w:t xml:space="preserve"> (</w:t>
            </w:r>
            <w:r w:rsidR="002A5BDC" w:rsidRPr="00ED1007">
              <w:rPr>
                <w:bCs/>
                <w:szCs w:val="24"/>
              </w:rPr>
              <w:t>3</w:t>
            </w:r>
            <w:r w:rsidR="00C40270">
              <w:rPr>
                <w:bCs/>
                <w:szCs w:val="24"/>
              </w:rPr>
              <w:t>0</w:t>
            </w:r>
            <w:r w:rsidR="002A5BDC" w:rsidRPr="00ED1007">
              <w:rPr>
                <w:bCs/>
                <w:szCs w:val="24"/>
              </w:rPr>
              <w:t xml:space="preserve"> </w:t>
            </w:r>
            <w:r w:rsidR="00134517">
              <w:rPr>
                <w:bCs/>
                <w:szCs w:val="24"/>
              </w:rPr>
              <w:t>September</w:t>
            </w:r>
            <w:r w:rsidR="00C40270">
              <w:rPr>
                <w:bCs/>
                <w:szCs w:val="24"/>
              </w:rPr>
              <w:t xml:space="preserve"> 2022</w:t>
            </w:r>
            <w:r w:rsidR="00F1403C" w:rsidRPr="00ED1007">
              <w:rPr>
                <w:bCs/>
                <w:szCs w:val="24"/>
              </w:rPr>
              <w:t>)</w:t>
            </w:r>
            <w:r w:rsidR="003706EA">
              <w:rPr>
                <w:bCs/>
                <w:szCs w:val="24"/>
              </w:rPr>
              <w:t xml:space="preserve">, receive an update on things which have happened in the </w:t>
            </w:r>
            <w:r w:rsidR="00134517">
              <w:rPr>
                <w:bCs/>
                <w:szCs w:val="24"/>
              </w:rPr>
              <w:t>current</w:t>
            </w:r>
            <w:r w:rsidR="003706EA">
              <w:rPr>
                <w:bCs/>
                <w:szCs w:val="24"/>
              </w:rPr>
              <w:t xml:space="preserve"> quarter</w:t>
            </w:r>
            <w:r w:rsidR="00F1403C" w:rsidRPr="00ED1007">
              <w:rPr>
                <w:bCs/>
                <w:szCs w:val="24"/>
              </w:rPr>
              <w:t xml:space="preserve"> </w:t>
            </w:r>
            <w:r w:rsidR="0075166A" w:rsidRPr="00ED1007">
              <w:rPr>
                <w:bCs/>
                <w:szCs w:val="24"/>
              </w:rPr>
              <w:t xml:space="preserve">and </w:t>
            </w:r>
            <w:r w:rsidR="003706EA">
              <w:rPr>
                <w:bCs/>
                <w:szCs w:val="24"/>
              </w:rPr>
              <w:t>be asked to agree</w:t>
            </w:r>
            <w:r w:rsidRPr="00ED1007">
              <w:rPr>
                <w:bCs/>
                <w:szCs w:val="24"/>
              </w:rPr>
              <w:t xml:space="preserve"> a draft </w:t>
            </w:r>
            <w:r w:rsidR="0075166A" w:rsidRPr="00ED1007">
              <w:rPr>
                <w:bCs/>
                <w:szCs w:val="24"/>
              </w:rPr>
              <w:t xml:space="preserve">work programme for the Committee for the </w:t>
            </w:r>
            <w:r w:rsidR="003706EA">
              <w:rPr>
                <w:bCs/>
                <w:szCs w:val="24"/>
              </w:rPr>
              <w:t xml:space="preserve">remainder of the </w:t>
            </w:r>
            <w:r w:rsidR="0075166A" w:rsidRPr="00ED1007">
              <w:rPr>
                <w:bCs/>
                <w:szCs w:val="24"/>
              </w:rPr>
              <w:t>202</w:t>
            </w:r>
            <w:r w:rsidR="00A5339D" w:rsidRPr="00ED1007">
              <w:rPr>
                <w:bCs/>
                <w:szCs w:val="24"/>
              </w:rPr>
              <w:t>2-23</w:t>
            </w:r>
            <w:r w:rsidR="00F1403C" w:rsidRPr="00ED1007">
              <w:rPr>
                <w:bCs/>
                <w:szCs w:val="24"/>
              </w:rPr>
              <w:t xml:space="preserve"> municipal </w:t>
            </w:r>
            <w:r w:rsidR="00777E2D" w:rsidRPr="00ED1007">
              <w:rPr>
                <w:bCs/>
                <w:szCs w:val="24"/>
              </w:rPr>
              <w:t>year.</w:t>
            </w:r>
            <w:r w:rsidR="0075166A" w:rsidRPr="00ED1007">
              <w:rPr>
                <w:bCs/>
                <w:szCs w:val="24"/>
              </w:rPr>
              <w:t xml:space="preserve"> </w:t>
            </w:r>
          </w:p>
          <w:p w14:paraId="072448AA" w14:textId="77777777" w:rsidR="0075166A" w:rsidRPr="00ED1007" w:rsidRDefault="0075166A" w:rsidP="004B5D7B">
            <w:pPr>
              <w:rPr>
                <w:bCs/>
                <w:szCs w:val="24"/>
              </w:rPr>
            </w:pPr>
          </w:p>
        </w:tc>
      </w:tr>
      <w:tr w:rsidR="003706EA" w:rsidRPr="00ED1007" w14:paraId="31569646" w14:textId="77777777" w:rsidTr="00D365CC">
        <w:tc>
          <w:tcPr>
            <w:tcW w:w="2961" w:type="dxa"/>
          </w:tcPr>
          <w:p w14:paraId="05FBC072" w14:textId="1D1D1ADE" w:rsidR="003706EA" w:rsidRPr="00ED1007" w:rsidRDefault="00134517" w:rsidP="003706EA">
            <w:pPr>
              <w:tabs>
                <w:tab w:val="left" w:pos="2056"/>
              </w:tabs>
            </w:pPr>
            <w:r>
              <w:t xml:space="preserve">Review of </w:t>
            </w:r>
            <w:r w:rsidR="003706EA">
              <w:t xml:space="preserve">Pension Fund </w:t>
            </w:r>
            <w:r>
              <w:t>Risk Register</w:t>
            </w:r>
          </w:p>
        </w:tc>
        <w:tc>
          <w:tcPr>
            <w:tcW w:w="4618" w:type="dxa"/>
            <w:shd w:val="clear" w:color="auto" w:fill="auto"/>
          </w:tcPr>
          <w:p w14:paraId="577A2205" w14:textId="66E4CEBE" w:rsidR="003706EA" w:rsidRDefault="003706EA" w:rsidP="00FC33FC">
            <w:pPr>
              <w:rPr>
                <w:bCs/>
                <w:szCs w:val="24"/>
              </w:rPr>
            </w:pPr>
            <w:r>
              <w:rPr>
                <w:bCs/>
                <w:szCs w:val="24"/>
              </w:rPr>
              <w:t xml:space="preserve">The Committee will review </w:t>
            </w:r>
            <w:r w:rsidR="00134517">
              <w:rPr>
                <w:bCs/>
                <w:szCs w:val="24"/>
              </w:rPr>
              <w:t>Risk Register.</w:t>
            </w:r>
            <w:r>
              <w:rPr>
                <w:bCs/>
                <w:szCs w:val="24"/>
              </w:rPr>
              <w:t xml:space="preserve"> Th</w:t>
            </w:r>
            <w:r w:rsidR="00134517">
              <w:rPr>
                <w:bCs/>
                <w:szCs w:val="24"/>
              </w:rPr>
              <w:t>is</w:t>
            </w:r>
            <w:r>
              <w:rPr>
                <w:bCs/>
                <w:szCs w:val="24"/>
              </w:rPr>
              <w:t xml:space="preserve"> item</w:t>
            </w:r>
            <w:r w:rsidR="00134517">
              <w:rPr>
                <w:bCs/>
                <w:szCs w:val="24"/>
              </w:rPr>
              <w:t xml:space="preserve"> is </w:t>
            </w:r>
            <w:r>
              <w:rPr>
                <w:bCs/>
                <w:szCs w:val="24"/>
              </w:rPr>
              <w:t>reported elsewhere on this agenda.</w:t>
            </w:r>
          </w:p>
          <w:p w14:paraId="26129122" w14:textId="75D8649B" w:rsidR="003706EA" w:rsidRDefault="003706EA" w:rsidP="00FC33FC">
            <w:pPr>
              <w:rPr>
                <w:bCs/>
                <w:szCs w:val="24"/>
              </w:rPr>
            </w:pPr>
          </w:p>
        </w:tc>
      </w:tr>
      <w:tr w:rsidR="001F6722" w:rsidRPr="00ED1007" w14:paraId="6250D94D" w14:textId="77777777" w:rsidTr="00D365CC">
        <w:tc>
          <w:tcPr>
            <w:tcW w:w="2961" w:type="dxa"/>
          </w:tcPr>
          <w:p w14:paraId="7553BE51" w14:textId="7441EF34" w:rsidR="001F6722" w:rsidRPr="00ED1007" w:rsidRDefault="00134517" w:rsidP="00FC33FC">
            <w:r>
              <w:t>Taskforce on Climate-Related Financial Disclosures</w:t>
            </w:r>
          </w:p>
        </w:tc>
        <w:tc>
          <w:tcPr>
            <w:tcW w:w="4618" w:type="dxa"/>
            <w:shd w:val="clear" w:color="auto" w:fill="auto"/>
          </w:tcPr>
          <w:p w14:paraId="61E1B509" w14:textId="2CF04842" w:rsidR="00134517" w:rsidRDefault="003706EA" w:rsidP="00134517">
            <w:pPr>
              <w:rPr>
                <w:bCs/>
                <w:szCs w:val="24"/>
              </w:rPr>
            </w:pPr>
            <w:r>
              <w:rPr>
                <w:bCs/>
                <w:szCs w:val="24"/>
              </w:rPr>
              <w:t xml:space="preserve">The Committee will be asked to review and approve </w:t>
            </w:r>
            <w:r w:rsidR="00134517">
              <w:rPr>
                <w:bCs/>
                <w:szCs w:val="24"/>
              </w:rPr>
              <w:t>a draft response to the Government Consultation.</w:t>
            </w:r>
          </w:p>
          <w:p w14:paraId="28B9286E" w14:textId="68FF0F1C" w:rsidR="003706EA" w:rsidRPr="00ED1007" w:rsidRDefault="003706EA" w:rsidP="00134517">
            <w:pPr>
              <w:rPr>
                <w:bCs/>
                <w:szCs w:val="24"/>
              </w:rPr>
            </w:pPr>
          </w:p>
        </w:tc>
      </w:tr>
      <w:tr w:rsidR="00BA423E" w:rsidRPr="00ED1007" w14:paraId="22F4EAA7" w14:textId="77777777" w:rsidTr="00D365CC">
        <w:tc>
          <w:tcPr>
            <w:tcW w:w="2961" w:type="dxa"/>
          </w:tcPr>
          <w:p w14:paraId="1CB89077" w14:textId="017CFA3C" w:rsidR="00BA423E" w:rsidRDefault="00DE6259" w:rsidP="00FC33FC">
            <w:r>
              <w:t>2022 Triennial Valuation</w:t>
            </w:r>
            <w:r w:rsidR="003706EA">
              <w:t xml:space="preserve"> </w:t>
            </w:r>
          </w:p>
          <w:p w14:paraId="7D3DA046" w14:textId="7F09240A" w:rsidR="003706EA" w:rsidRPr="00ED1007" w:rsidRDefault="003706EA" w:rsidP="00FC33FC"/>
        </w:tc>
        <w:tc>
          <w:tcPr>
            <w:tcW w:w="4618" w:type="dxa"/>
            <w:shd w:val="clear" w:color="auto" w:fill="auto"/>
          </w:tcPr>
          <w:p w14:paraId="7A8044D3" w14:textId="4E289357" w:rsidR="00BA423E" w:rsidRDefault="00BA423E" w:rsidP="00FC33FC">
            <w:pPr>
              <w:rPr>
                <w:bCs/>
                <w:szCs w:val="24"/>
              </w:rPr>
            </w:pPr>
            <w:r w:rsidRPr="00ED1007">
              <w:rPr>
                <w:bCs/>
                <w:szCs w:val="24"/>
              </w:rPr>
              <w:t>T</w:t>
            </w:r>
            <w:r w:rsidR="003706EA">
              <w:rPr>
                <w:bCs/>
                <w:szCs w:val="24"/>
              </w:rPr>
              <w:t xml:space="preserve">he Committee will consider </w:t>
            </w:r>
            <w:r w:rsidR="00DE6259">
              <w:rPr>
                <w:bCs/>
                <w:szCs w:val="24"/>
              </w:rPr>
              <w:t>the draft Funding Strategy Statement and be asked to approve that for consultation. Please see report elsewhere on this agenda.</w:t>
            </w:r>
            <w:r w:rsidR="00ED1007">
              <w:rPr>
                <w:bCs/>
                <w:szCs w:val="24"/>
              </w:rPr>
              <w:t xml:space="preserve"> </w:t>
            </w:r>
          </w:p>
          <w:p w14:paraId="403A9863" w14:textId="7B2FF96A" w:rsidR="003706EA" w:rsidRPr="00ED1007" w:rsidRDefault="003706EA" w:rsidP="00FC33FC">
            <w:pPr>
              <w:rPr>
                <w:bCs/>
                <w:szCs w:val="24"/>
              </w:rPr>
            </w:pPr>
          </w:p>
        </w:tc>
      </w:tr>
      <w:tr w:rsidR="00DE6259" w:rsidRPr="00ED1007" w14:paraId="046C410C" w14:textId="77777777" w:rsidTr="00D365CC">
        <w:tc>
          <w:tcPr>
            <w:tcW w:w="2961" w:type="dxa"/>
          </w:tcPr>
          <w:p w14:paraId="17A71D2D" w14:textId="77777777" w:rsidR="00DE6259" w:rsidRDefault="00DE6259" w:rsidP="00DE6259">
            <w:r>
              <w:t>Responsible Investment Policy</w:t>
            </w:r>
          </w:p>
          <w:p w14:paraId="5B713286" w14:textId="0662CEE0" w:rsidR="00DE6259" w:rsidRDefault="00DE6259" w:rsidP="00DE6259"/>
        </w:tc>
        <w:tc>
          <w:tcPr>
            <w:tcW w:w="4618" w:type="dxa"/>
            <w:shd w:val="clear" w:color="auto" w:fill="auto"/>
          </w:tcPr>
          <w:p w14:paraId="20AC1347" w14:textId="4356A99B" w:rsidR="00DE6259" w:rsidRPr="00ED1007" w:rsidRDefault="00DE6259" w:rsidP="00FC33FC">
            <w:pPr>
              <w:rPr>
                <w:bCs/>
                <w:szCs w:val="24"/>
              </w:rPr>
            </w:pPr>
            <w:r>
              <w:rPr>
                <w:bCs/>
                <w:szCs w:val="24"/>
              </w:rPr>
              <w:t>The Committee will be asked to consider and review a draft RI Policy</w:t>
            </w:r>
          </w:p>
        </w:tc>
      </w:tr>
      <w:tr w:rsidR="002A5BDC" w:rsidRPr="00ED1007" w14:paraId="356D1E0D" w14:textId="77777777" w:rsidTr="00FC33FC">
        <w:tc>
          <w:tcPr>
            <w:tcW w:w="2961" w:type="dxa"/>
          </w:tcPr>
          <w:p w14:paraId="3DF65F9A" w14:textId="77777777" w:rsidR="002A5BDC" w:rsidRPr="00ED1007" w:rsidRDefault="002A5BDC" w:rsidP="002A5BDC">
            <w:pPr>
              <w:rPr>
                <w:b/>
                <w:szCs w:val="24"/>
              </w:rPr>
            </w:pPr>
            <w:r w:rsidRPr="00ED1007">
              <w:rPr>
                <w:b/>
                <w:szCs w:val="24"/>
              </w:rPr>
              <w:t>Part II</w:t>
            </w:r>
          </w:p>
        </w:tc>
        <w:tc>
          <w:tcPr>
            <w:tcW w:w="4618" w:type="dxa"/>
          </w:tcPr>
          <w:p w14:paraId="2FBE5FC7" w14:textId="77777777" w:rsidR="002A5BDC" w:rsidRPr="00ED1007" w:rsidRDefault="002A5BDC" w:rsidP="002A5BDC">
            <w:pPr>
              <w:rPr>
                <w:bCs/>
                <w:szCs w:val="24"/>
              </w:rPr>
            </w:pPr>
          </w:p>
        </w:tc>
      </w:tr>
      <w:tr w:rsidR="00DE6259" w:rsidRPr="00ED1007" w14:paraId="01F6745A" w14:textId="77777777" w:rsidTr="00FC33FC">
        <w:tc>
          <w:tcPr>
            <w:tcW w:w="2961" w:type="dxa"/>
          </w:tcPr>
          <w:p w14:paraId="62C7FD99" w14:textId="77777777" w:rsidR="00DE6259" w:rsidRDefault="00DE6259" w:rsidP="00DE6259">
            <w:r w:rsidRPr="00ED1007">
              <w:t>Performance Dashboard and Update on Regular items</w:t>
            </w:r>
          </w:p>
          <w:p w14:paraId="4F7A3421" w14:textId="0B8AB17F" w:rsidR="00DE6259" w:rsidRPr="00ED1007" w:rsidRDefault="00DE6259" w:rsidP="00DE6259">
            <w:pPr>
              <w:rPr>
                <w:bCs/>
                <w:szCs w:val="24"/>
              </w:rPr>
            </w:pPr>
          </w:p>
        </w:tc>
        <w:tc>
          <w:tcPr>
            <w:tcW w:w="4618" w:type="dxa"/>
          </w:tcPr>
          <w:p w14:paraId="3C5DD905" w14:textId="77777777" w:rsidR="00DE6259" w:rsidRDefault="00DE6259" w:rsidP="00DE6259">
            <w:pPr>
              <w:rPr>
                <w:szCs w:val="24"/>
              </w:rPr>
            </w:pPr>
            <w:r>
              <w:rPr>
                <w:szCs w:val="24"/>
              </w:rPr>
              <w:t xml:space="preserve">The Committee will consider comments / reports on investment managers’ performance. </w:t>
            </w:r>
          </w:p>
          <w:p w14:paraId="1E2EBC31" w14:textId="70CC7DCD" w:rsidR="00DE6259" w:rsidRPr="00DE6259" w:rsidRDefault="00DE6259" w:rsidP="00DE6259">
            <w:pPr>
              <w:rPr>
                <w:szCs w:val="24"/>
              </w:rPr>
            </w:pPr>
            <w:r w:rsidRPr="00ED1007">
              <w:rPr>
                <w:szCs w:val="24"/>
              </w:rPr>
              <w:t xml:space="preserve">The report </w:t>
            </w:r>
            <w:r>
              <w:rPr>
                <w:szCs w:val="24"/>
              </w:rPr>
              <w:t xml:space="preserve">will be considered </w:t>
            </w:r>
            <w:r w:rsidRPr="00ED1007">
              <w:rPr>
                <w:szCs w:val="24"/>
              </w:rPr>
              <w:t xml:space="preserve">in part </w:t>
            </w:r>
            <w:r>
              <w:rPr>
                <w:szCs w:val="24"/>
              </w:rPr>
              <w:t>II</w:t>
            </w:r>
            <w:r w:rsidRPr="00ED1007">
              <w:rPr>
                <w:szCs w:val="24"/>
              </w:rPr>
              <w:t xml:space="preserve"> </w:t>
            </w:r>
            <w:r>
              <w:rPr>
                <w:szCs w:val="24"/>
              </w:rPr>
              <w:t>because of the sensitive nature of investment decisions.</w:t>
            </w:r>
          </w:p>
        </w:tc>
      </w:tr>
      <w:tr w:rsidR="00DE6259" w:rsidRPr="00ED1007" w14:paraId="1199F105" w14:textId="77777777" w:rsidTr="00FC33FC">
        <w:tc>
          <w:tcPr>
            <w:tcW w:w="2961" w:type="dxa"/>
          </w:tcPr>
          <w:p w14:paraId="2FD39F7E" w14:textId="3E4C6AA1" w:rsidR="00DE6259" w:rsidRPr="00ED1007" w:rsidRDefault="00DE6259" w:rsidP="00DE6259">
            <w:pPr>
              <w:rPr>
                <w:bCs/>
                <w:szCs w:val="24"/>
              </w:rPr>
            </w:pPr>
            <w:r w:rsidRPr="00ED1007">
              <w:rPr>
                <w:bCs/>
                <w:szCs w:val="24"/>
              </w:rPr>
              <w:t xml:space="preserve">Review of </w:t>
            </w:r>
            <w:r>
              <w:rPr>
                <w:bCs/>
                <w:szCs w:val="24"/>
              </w:rPr>
              <w:t xml:space="preserve">Property Investments (LaSalle Fund of Funds) </w:t>
            </w:r>
            <w:r w:rsidRPr="00ED1007">
              <w:rPr>
                <w:bCs/>
                <w:szCs w:val="24"/>
              </w:rPr>
              <w:t xml:space="preserve"> </w:t>
            </w:r>
          </w:p>
        </w:tc>
        <w:tc>
          <w:tcPr>
            <w:tcW w:w="4618" w:type="dxa"/>
          </w:tcPr>
          <w:p w14:paraId="5EB6A62E" w14:textId="20120C41" w:rsidR="00DE6259" w:rsidRDefault="00DE6259" w:rsidP="00DE6259">
            <w:pPr>
              <w:rPr>
                <w:szCs w:val="24"/>
              </w:rPr>
            </w:pPr>
            <w:r>
              <w:rPr>
                <w:szCs w:val="24"/>
              </w:rPr>
              <w:t xml:space="preserve">The Committee will receive an oral update report on progress since the last meeting. </w:t>
            </w:r>
          </w:p>
          <w:p w14:paraId="649A6177" w14:textId="5ADA531A" w:rsidR="00DE6259" w:rsidRPr="00ED1007" w:rsidRDefault="00DE6259" w:rsidP="00DE6259">
            <w:pPr>
              <w:rPr>
                <w:szCs w:val="24"/>
              </w:rPr>
            </w:pPr>
            <w:r w:rsidRPr="00ED1007">
              <w:rPr>
                <w:szCs w:val="24"/>
              </w:rPr>
              <w:t xml:space="preserve">The report </w:t>
            </w:r>
            <w:r>
              <w:rPr>
                <w:szCs w:val="24"/>
              </w:rPr>
              <w:t xml:space="preserve">will be considered </w:t>
            </w:r>
            <w:r w:rsidRPr="00ED1007">
              <w:rPr>
                <w:szCs w:val="24"/>
              </w:rPr>
              <w:t xml:space="preserve">in part </w:t>
            </w:r>
            <w:r>
              <w:rPr>
                <w:szCs w:val="24"/>
              </w:rPr>
              <w:t>II</w:t>
            </w:r>
            <w:r w:rsidRPr="00ED1007">
              <w:rPr>
                <w:szCs w:val="24"/>
              </w:rPr>
              <w:t xml:space="preserve"> </w:t>
            </w:r>
            <w:r>
              <w:rPr>
                <w:szCs w:val="24"/>
              </w:rPr>
              <w:t xml:space="preserve">because of the sensitive nature of investment decisions. </w:t>
            </w:r>
          </w:p>
        </w:tc>
      </w:tr>
    </w:tbl>
    <w:p w14:paraId="7A891A48" w14:textId="77777777" w:rsidR="00976004" w:rsidRDefault="00976004" w:rsidP="00976004">
      <w:pPr>
        <w:ind w:left="720"/>
        <w:jc w:val="both"/>
        <w:rPr>
          <w:szCs w:val="24"/>
        </w:rPr>
      </w:pPr>
    </w:p>
    <w:p w14:paraId="4CB17DA1" w14:textId="4A5A8ED1" w:rsidR="007B1B1A" w:rsidRDefault="00BD02E1" w:rsidP="00287A81">
      <w:pPr>
        <w:numPr>
          <w:ilvl w:val="0"/>
          <w:numId w:val="16"/>
        </w:numPr>
        <w:jc w:val="both"/>
        <w:rPr>
          <w:szCs w:val="24"/>
        </w:rPr>
      </w:pPr>
      <w:r w:rsidRPr="007B1B1A">
        <w:rPr>
          <w:szCs w:val="24"/>
        </w:rPr>
        <w:t>T</w:t>
      </w:r>
      <w:r w:rsidR="00260000" w:rsidRPr="007B1B1A">
        <w:rPr>
          <w:szCs w:val="24"/>
        </w:rPr>
        <w:t>h</w:t>
      </w:r>
      <w:r w:rsidR="003315E4" w:rsidRPr="007B1B1A">
        <w:rPr>
          <w:szCs w:val="24"/>
        </w:rPr>
        <w:t xml:space="preserve">e Pension Fund’s </w:t>
      </w:r>
      <w:r w:rsidR="00260000" w:rsidRPr="007B1B1A">
        <w:rPr>
          <w:szCs w:val="24"/>
        </w:rPr>
        <w:t>investments were valued at</w:t>
      </w:r>
      <w:r w:rsidRPr="007B1B1A">
        <w:rPr>
          <w:szCs w:val="24"/>
        </w:rPr>
        <w:t xml:space="preserve"> £</w:t>
      </w:r>
      <w:r w:rsidR="007B1B1A" w:rsidRPr="007B1B1A">
        <w:rPr>
          <w:szCs w:val="24"/>
        </w:rPr>
        <w:t>899</w:t>
      </w:r>
      <w:r w:rsidR="006809C4" w:rsidRPr="007B1B1A">
        <w:rPr>
          <w:szCs w:val="24"/>
        </w:rPr>
        <w:t>m</w:t>
      </w:r>
      <w:r w:rsidRPr="007B1B1A">
        <w:rPr>
          <w:szCs w:val="24"/>
        </w:rPr>
        <w:t xml:space="preserve"> </w:t>
      </w:r>
      <w:proofErr w:type="gramStart"/>
      <w:r w:rsidRPr="007B1B1A">
        <w:rPr>
          <w:szCs w:val="24"/>
        </w:rPr>
        <w:t>at</w:t>
      </w:r>
      <w:proofErr w:type="gramEnd"/>
      <w:r w:rsidRPr="007B1B1A">
        <w:rPr>
          <w:szCs w:val="24"/>
        </w:rPr>
        <w:t xml:space="preserve"> 3</w:t>
      </w:r>
      <w:r w:rsidR="007F5656" w:rsidRPr="007B1B1A">
        <w:rPr>
          <w:szCs w:val="24"/>
        </w:rPr>
        <w:t>0</w:t>
      </w:r>
      <w:r w:rsidR="007B1B1A" w:rsidRPr="007B1B1A">
        <w:rPr>
          <w:szCs w:val="24"/>
        </w:rPr>
        <w:t xml:space="preserve"> September</w:t>
      </w:r>
      <w:r w:rsidR="00133785" w:rsidRPr="007B1B1A">
        <w:rPr>
          <w:szCs w:val="24"/>
        </w:rPr>
        <w:t xml:space="preserve"> 2022</w:t>
      </w:r>
      <w:r w:rsidRPr="007B1B1A">
        <w:rPr>
          <w:szCs w:val="24"/>
        </w:rPr>
        <w:t xml:space="preserve">. </w:t>
      </w:r>
      <w:r w:rsidR="007B1B1A" w:rsidRPr="007B1B1A">
        <w:rPr>
          <w:szCs w:val="24"/>
        </w:rPr>
        <w:t xml:space="preserve">However, the Board </w:t>
      </w:r>
      <w:r w:rsidR="007B1B1A" w:rsidRPr="007A37A4">
        <w:t xml:space="preserve">should note that withdrawals totalling £12m from global equities (£6m each from LCIV Global Equity Focus Fund and Blackrock Passive) </w:t>
      </w:r>
      <w:r w:rsidR="007B1B1A">
        <w:t xml:space="preserve">to meet the cash settlements required for currency hedging in early October had been processed in the </w:t>
      </w:r>
      <w:proofErr w:type="gramStart"/>
      <w:r w:rsidR="007B1B1A">
        <w:t>equities</w:t>
      </w:r>
      <w:proofErr w:type="gramEnd"/>
      <w:r w:rsidR="007B1B1A">
        <w:t xml:space="preserve"> valuation, but the cash settlement was not received in the Fund’s bank account </w:t>
      </w:r>
      <w:r w:rsidR="007B1B1A">
        <w:lastRenderedPageBreak/>
        <w:t>until 3 October 2022. This arises because of the normal delay between the transaction date and the settlement date (3 business days).</w:t>
      </w:r>
      <w:r w:rsidR="007B1B1A" w:rsidRPr="007B1B1A">
        <w:t xml:space="preserve"> </w:t>
      </w:r>
      <w:r w:rsidRPr="007B1B1A">
        <w:rPr>
          <w:szCs w:val="24"/>
        </w:rPr>
        <w:t xml:space="preserve">The details </w:t>
      </w:r>
      <w:r w:rsidR="007B1B1A" w:rsidRPr="007B1B1A">
        <w:rPr>
          <w:szCs w:val="24"/>
        </w:rPr>
        <w:t xml:space="preserve">of the valuation </w:t>
      </w:r>
      <w:r w:rsidRPr="007B1B1A">
        <w:rPr>
          <w:szCs w:val="24"/>
        </w:rPr>
        <w:t xml:space="preserve">are </w:t>
      </w:r>
      <w:r w:rsidR="003315E4" w:rsidRPr="007B1B1A">
        <w:rPr>
          <w:szCs w:val="24"/>
        </w:rPr>
        <w:t xml:space="preserve">shown at appendix </w:t>
      </w:r>
      <w:r w:rsidR="00CB4353" w:rsidRPr="007B1B1A">
        <w:rPr>
          <w:szCs w:val="24"/>
        </w:rPr>
        <w:t>1</w:t>
      </w:r>
      <w:r w:rsidRPr="007B1B1A">
        <w:rPr>
          <w:szCs w:val="24"/>
        </w:rPr>
        <w:t>.</w:t>
      </w:r>
      <w:r w:rsidR="00821C13" w:rsidRPr="007B1B1A">
        <w:rPr>
          <w:szCs w:val="24"/>
        </w:rPr>
        <w:t xml:space="preserve"> </w:t>
      </w:r>
    </w:p>
    <w:p w14:paraId="0F25CB82" w14:textId="77777777" w:rsidR="007B1B1A" w:rsidRDefault="007B1B1A" w:rsidP="007B1B1A">
      <w:pPr>
        <w:ind w:left="720"/>
        <w:jc w:val="both"/>
        <w:rPr>
          <w:szCs w:val="24"/>
        </w:rPr>
      </w:pPr>
    </w:p>
    <w:p w14:paraId="65F54E31" w14:textId="7A062D2F" w:rsidR="007B1B1A" w:rsidRPr="007B1B1A" w:rsidRDefault="007B1B1A" w:rsidP="00C70BDC">
      <w:pPr>
        <w:numPr>
          <w:ilvl w:val="0"/>
          <w:numId w:val="16"/>
        </w:numPr>
        <w:jc w:val="both"/>
        <w:rPr>
          <w:szCs w:val="24"/>
        </w:rPr>
      </w:pPr>
      <w:r w:rsidRPr="007A37A4">
        <w:rPr>
          <w:szCs w:val="24"/>
        </w:rPr>
        <w:t xml:space="preserve">The values of most asset classes fell </w:t>
      </w:r>
      <w:r>
        <w:rPr>
          <w:szCs w:val="24"/>
        </w:rPr>
        <w:t xml:space="preserve">slightly </w:t>
      </w:r>
      <w:r w:rsidRPr="007A37A4">
        <w:rPr>
          <w:szCs w:val="24"/>
        </w:rPr>
        <w:t xml:space="preserve">during the quarter – this was due to the </w:t>
      </w:r>
      <w:r>
        <w:rPr>
          <w:szCs w:val="24"/>
        </w:rPr>
        <w:t xml:space="preserve">continuing inflationary </w:t>
      </w:r>
      <w:r w:rsidRPr="007A37A4">
        <w:rPr>
          <w:szCs w:val="24"/>
        </w:rPr>
        <w:t>pressures on the global economy</w:t>
      </w:r>
      <w:r>
        <w:rPr>
          <w:szCs w:val="24"/>
        </w:rPr>
        <w:t xml:space="preserve"> and expectations of rises in interest rates</w:t>
      </w:r>
      <w:r w:rsidRPr="007A37A4">
        <w:rPr>
          <w:szCs w:val="24"/>
        </w:rPr>
        <w:t xml:space="preserve">. </w:t>
      </w:r>
      <w:r>
        <w:rPr>
          <w:szCs w:val="24"/>
        </w:rPr>
        <w:t xml:space="preserve">As previously reported, </w:t>
      </w:r>
      <w:r w:rsidRPr="007A37A4">
        <w:rPr>
          <w:szCs w:val="24"/>
        </w:rPr>
        <w:t xml:space="preserve">the fall in the value of the £ relative to the US dollar impacted negatively on the Fund’s currency hedging positions. </w:t>
      </w:r>
      <w:r>
        <w:rPr>
          <w:szCs w:val="24"/>
        </w:rPr>
        <w:t>This was exacerbated by the political challenges in the UK at that end of September, which meant that £19.6m of hedging cash settlements was required. As this hedging loss offset some gains in equities during the quarter, redemptions were made from the Fund’s overweight equity holdings to meet the cash calls.</w:t>
      </w:r>
    </w:p>
    <w:p w14:paraId="21C06B20" w14:textId="77777777" w:rsidR="007B1B1A" w:rsidRDefault="007B1B1A" w:rsidP="007B1B1A">
      <w:pPr>
        <w:ind w:left="720"/>
        <w:jc w:val="both"/>
        <w:rPr>
          <w:szCs w:val="24"/>
        </w:rPr>
      </w:pPr>
    </w:p>
    <w:p w14:paraId="67F32CBA" w14:textId="77777777" w:rsidR="007B1B1A" w:rsidRPr="007B1B1A" w:rsidRDefault="00821C13" w:rsidP="007B1B1A">
      <w:pPr>
        <w:numPr>
          <w:ilvl w:val="0"/>
          <w:numId w:val="16"/>
        </w:numPr>
        <w:jc w:val="both"/>
        <w:rPr>
          <w:szCs w:val="24"/>
        </w:rPr>
      </w:pPr>
      <w:r w:rsidRPr="007B1B1A">
        <w:rPr>
          <w:szCs w:val="24"/>
        </w:rPr>
        <w:t xml:space="preserve">The Fund’s past service liabilities </w:t>
      </w:r>
      <w:proofErr w:type="gramStart"/>
      <w:r w:rsidRPr="007B1B1A">
        <w:rPr>
          <w:szCs w:val="24"/>
        </w:rPr>
        <w:t>at</w:t>
      </w:r>
      <w:proofErr w:type="gramEnd"/>
      <w:r w:rsidRPr="007B1B1A">
        <w:rPr>
          <w:szCs w:val="24"/>
        </w:rPr>
        <w:t xml:space="preserve"> 3</w:t>
      </w:r>
      <w:r w:rsidR="007F5656" w:rsidRPr="007B1B1A">
        <w:rPr>
          <w:szCs w:val="24"/>
        </w:rPr>
        <w:t xml:space="preserve">0 </w:t>
      </w:r>
      <w:r w:rsidR="007B1B1A" w:rsidRPr="007B1B1A">
        <w:rPr>
          <w:szCs w:val="24"/>
        </w:rPr>
        <w:t>September 2022</w:t>
      </w:r>
      <w:r w:rsidRPr="007B1B1A">
        <w:rPr>
          <w:szCs w:val="24"/>
        </w:rPr>
        <w:t xml:space="preserve"> totalled £</w:t>
      </w:r>
      <w:r w:rsidR="007B1B1A" w:rsidRPr="007B1B1A">
        <w:rPr>
          <w:szCs w:val="24"/>
        </w:rPr>
        <w:t>786</w:t>
      </w:r>
      <w:r w:rsidRPr="007B1B1A">
        <w:rPr>
          <w:szCs w:val="24"/>
        </w:rPr>
        <w:t>m meaning the Fund was approximately 1</w:t>
      </w:r>
      <w:r w:rsidR="007B1B1A" w:rsidRPr="007B1B1A">
        <w:rPr>
          <w:szCs w:val="24"/>
        </w:rPr>
        <w:t>16</w:t>
      </w:r>
      <w:r w:rsidRPr="007B1B1A">
        <w:rPr>
          <w:szCs w:val="24"/>
        </w:rPr>
        <w:t xml:space="preserve">% funded. </w:t>
      </w:r>
      <w:r w:rsidR="007F5656" w:rsidRPr="007B1B1A">
        <w:rPr>
          <w:szCs w:val="24"/>
        </w:rPr>
        <w:t xml:space="preserve">This estimate of liabilities is simply a rolled forward projection based on the </w:t>
      </w:r>
      <w:r w:rsidR="007B1B1A" w:rsidRPr="007B1B1A">
        <w:rPr>
          <w:szCs w:val="24"/>
        </w:rPr>
        <w:t>2022</w:t>
      </w:r>
      <w:r w:rsidR="007F5656" w:rsidRPr="007B1B1A">
        <w:rPr>
          <w:szCs w:val="24"/>
        </w:rPr>
        <w:t xml:space="preserve"> </w:t>
      </w:r>
      <w:r w:rsidR="007B1B1A" w:rsidRPr="007B1B1A">
        <w:rPr>
          <w:szCs w:val="24"/>
        </w:rPr>
        <w:t>triennial</w:t>
      </w:r>
      <w:r w:rsidR="007F5656" w:rsidRPr="007B1B1A">
        <w:rPr>
          <w:szCs w:val="24"/>
        </w:rPr>
        <w:t xml:space="preserve"> valuation</w:t>
      </w:r>
      <w:r w:rsidR="007B1B1A" w:rsidRPr="007B1B1A">
        <w:rPr>
          <w:szCs w:val="24"/>
        </w:rPr>
        <w:t xml:space="preserve">. </w:t>
      </w:r>
      <w:r w:rsidR="007F5656" w:rsidRPr="007B1B1A">
        <w:rPr>
          <w:szCs w:val="24"/>
        </w:rPr>
        <w:t xml:space="preserve"> </w:t>
      </w:r>
      <w:r w:rsidR="007B1B1A" w:rsidRPr="007B1B1A">
        <w:rPr>
          <w:szCs w:val="24"/>
        </w:rPr>
        <w:t xml:space="preserve">The estimated funding level has improved since the 2022 valuation. This is driven by the fact that the expected return (discount rate) </w:t>
      </w:r>
      <w:r w:rsidR="007B1B1A">
        <w:t>has increased materially since the valuation largely driven by increasing interest rate expectations. This has reduced the liabilities substantially. The assets have held up well over this period of turbulence in financial markets and have not dropped to the same extend as the liabilities</w:t>
      </w:r>
      <w:r w:rsidR="007B1B1A" w:rsidRPr="007B1B1A">
        <w:rPr>
          <w:szCs w:val="24"/>
        </w:rPr>
        <w:t xml:space="preserve"> – hence the increased funding level. This update is at a single point in time, during a period of volatility in markets. Further market movements will lead to further fluctuations in funding level.  </w:t>
      </w:r>
    </w:p>
    <w:p w14:paraId="7707CFDB" w14:textId="77777777" w:rsidR="007B1B1A" w:rsidRDefault="007B1B1A" w:rsidP="007B1B1A">
      <w:pPr>
        <w:pStyle w:val="ListParagraph"/>
        <w:rPr>
          <w:szCs w:val="24"/>
        </w:rPr>
      </w:pPr>
    </w:p>
    <w:p w14:paraId="592C6527" w14:textId="77777777" w:rsidR="007B1B1A" w:rsidRDefault="007B1B1A" w:rsidP="0071168F">
      <w:pPr>
        <w:numPr>
          <w:ilvl w:val="0"/>
          <w:numId w:val="16"/>
        </w:numPr>
        <w:jc w:val="both"/>
        <w:rPr>
          <w:szCs w:val="24"/>
        </w:rPr>
      </w:pPr>
      <w:r w:rsidRPr="007B1B1A">
        <w:rPr>
          <w:szCs w:val="24"/>
        </w:rPr>
        <w:t>It should be noted also that the 116% funding level relates only to “past service” benefits (</w:t>
      </w:r>
      <w:proofErr w:type="gramStart"/>
      <w:r w:rsidRPr="007B1B1A">
        <w:rPr>
          <w:szCs w:val="24"/>
        </w:rPr>
        <w:t>i.e.</w:t>
      </w:r>
      <w:proofErr w:type="gramEnd"/>
      <w:r w:rsidRPr="007B1B1A">
        <w:rPr>
          <w:szCs w:val="24"/>
        </w:rPr>
        <w:t xml:space="preserve"> service accrued to date). As a scheme which is “open” (</w:t>
      </w:r>
      <w:proofErr w:type="gramStart"/>
      <w:r w:rsidRPr="007B1B1A">
        <w:rPr>
          <w:szCs w:val="24"/>
        </w:rPr>
        <w:t>i.e.</w:t>
      </w:r>
      <w:proofErr w:type="gramEnd"/>
      <w:r w:rsidRPr="007B1B1A">
        <w:rPr>
          <w:szCs w:val="24"/>
        </w:rPr>
        <w:t xml:space="preserve"> both to future accrual of benefits for existing members and to new joiners), the Fund will also have to meet significant liabilities in respect of future service, which will in turn depend on pay levels and other factors. </w:t>
      </w:r>
    </w:p>
    <w:p w14:paraId="17316183" w14:textId="77777777" w:rsidR="007B1B1A" w:rsidRDefault="007B1B1A" w:rsidP="007B1B1A">
      <w:pPr>
        <w:pStyle w:val="ListParagraph"/>
        <w:rPr>
          <w:szCs w:val="24"/>
        </w:rPr>
      </w:pPr>
    </w:p>
    <w:p w14:paraId="1933DFB4" w14:textId="38C7B72B" w:rsidR="006809C4" w:rsidRPr="007B1B1A" w:rsidRDefault="007F5656" w:rsidP="0071168F">
      <w:pPr>
        <w:numPr>
          <w:ilvl w:val="0"/>
          <w:numId w:val="16"/>
        </w:numPr>
        <w:jc w:val="both"/>
        <w:rPr>
          <w:szCs w:val="24"/>
        </w:rPr>
      </w:pPr>
      <w:proofErr w:type="gramStart"/>
      <w:r w:rsidRPr="007B1B1A">
        <w:rPr>
          <w:szCs w:val="24"/>
        </w:rPr>
        <w:t>At</w:t>
      </w:r>
      <w:proofErr w:type="gramEnd"/>
      <w:r w:rsidRPr="007B1B1A">
        <w:rPr>
          <w:szCs w:val="24"/>
        </w:rPr>
        <w:t xml:space="preserve"> 3</w:t>
      </w:r>
      <w:r w:rsidR="00441D9B">
        <w:rPr>
          <w:szCs w:val="24"/>
        </w:rPr>
        <w:t>0 September</w:t>
      </w:r>
      <w:r w:rsidR="006809C4" w:rsidRPr="007B1B1A">
        <w:rPr>
          <w:szCs w:val="24"/>
        </w:rPr>
        <w:t xml:space="preserve"> </w:t>
      </w:r>
      <w:r w:rsidRPr="007B1B1A">
        <w:rPr>
          <w:szCs w:val="24"/>
        </w:rPr>
        <w:t xml:space="preserve">2022, </w:t>
      </w:r>
      <w:r w:rsidR="006809C4" w:rsidRPr="007B1B1A">
        <w:rPr>
          <w:szCs w:val="24"/>
        </w:rPr>
        <w:t>the value of the Fund’s investments was £</w:t>
      </w:r>
      <w:r w:rsidR="00441D9B">
        <w:rPr>
          <w:szCs w:val="24"/>
        </w:rPr>
        <w:t>89</w:t>
      </w:r>
      <w:r w:rsidR="006809C4" w:rsidRPr="007B1B1A">
        <w:rPr>
          <w:szCs w:val="24"/>
        </w:rPr>
        <w:t xml:space="preserve">9m. At that date, </w:t>
      </w:r>
      <w:r w:rsidR="00441D9B">
        <w:rPr>
          <w:szCs w:val="24"/>
        </w:rPr>
        <w:t>81</w:t>
      </w:r>
      <w:r w:rsidRPr="007B1B1A">
        <w:rPr>
          <w:szCs w:val="24"/>
        </w:rPr>
        <w:t xml:space="preserve">% of the Fund’s investments were pooled or in passive investments which are regarded as being pooled. </w:t>
      </w:r>
    </w:p>
    <w:p w14:paraId="5F6BD5FD" w14:textId="77777777" w:rsidR="006B5B52" w:rsidRPr="00ED1007" w:rsidRDefault="006B5B52" w:rsidP="006B5B52">
      <w:pPr>
        <w:pStyle w:val="Heading2"/>
      </w:pPr>
      <w:r w:rsidRPr="00821C13">
        <w:t>Legal Implications</w:t>
      </w:r>
    </w:p>
    <w:p w14:paraId="56739B89" w14:textId="77777777" w:rsidR="006B5B52" w:rsidRPr="00ED1007" w:rsidRDefault="006B5B52" w:rsidP="006B5B52">
      <w:pPr>
        <w:pStyle w:val="ListParagraph"/>
      </w:pPr>
    </w:p>
    <w:p w14:paraId="1AE22C2D" w14:textId="7F1C0BB7" w:rsidR="006B5B52" w:rsidRPr="00ED1007" w:rsidRDefault="006B5B52" w:rsidP="000E1E98">
      <w:pPr>
        <w:numPr>
          <w:ilvl w:val="0"/>
          <w:numId w:val="16"/>
        </w:numPr>
        <w:jc w:val="both"/>
        <w:rPr>
          <w:szCs w:val="24"/>
        </w:rPr>
      </w:pPr>
      <w:r w:rsidRPr="00ED1007">
        <w:rPr>
          <w:szCs w:val="24"/>
        </w:rPr>
        <w:t>There are no direct legal implications arising from this report.</w:t>
      </w:r>
    </w:p>
    <w:p w14:paraId="71FA671C" w14:textId="77777777" w:rsidR="005740D4" w:rsidRPr="00ED1007" w:rsidRDefault="005740D4" w:rsidP="005740D4">
      <w:pPr>
        <w:ind w:left="720"/>
        <w:jc w:val="both"/>
        <w:rPr>
          <w:szCs w:val="24"/>
        </w:rPr>
      </w:pPr>
    </w:p>
    <w:p w14:paraId="20DF4B67" w14:textId="314F3ABD" w:rsidR="007F5656" w:rsidRPr="007F5656" w:rsidRDefault="007F5656" w:rsidP="007F5656">
      <w:pPr>
        <w:numPr>
          <w:ilvl w:val="0"/>
          <w:numId w:val="16"/>
        </w:numPr>
        <w:jc w:val="both"/>
        <w:rPr>
          <w:szCs w:val="24"/>
        </w:rPr>
      </w:pPr>
      <w:r w:rsidRPr="007F5656">
        <w:rPr>
          <w:szCs w:val="24"/>
        </w:rPr>
        <w:t xml:space="preserve">The terms of reference for the Board include the Board’s role as set out in the following paragraphs. </w:t>
      </w:r>
    </w:p>
    <w:p w14:paraId="315C7E5E" w14:textId="77777777" w:rsidR="007F5656" w:rsidRDefault="007F5656" w:rsidP="007F5656">
      <w:pPr>
        <w:pStyle w:val="ListParagraph"/>
        <w:rPr>
          <w:szCs w:val="24"/>
        </w:rPr>
      </w:pPr>
    </w:p>
    <w:p w14:paraId="4468AEB8" w14:textId="77777777" w:rsidR="007F5656" w:rsidRPr="00B17A17" w:rsidRDefault="007F5656" w:rsidP="007F5656">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7F03A920" w14:textId="77777777" w:rsidR="007F5656" w:rsidRPr="00B17A17" w:rsidRDefault="007F5656" w:rsidP="007F5656">
      <w:pPr>
        <w:pStyle w:val="ListParagraph"/>
        <w:numPr>
          <w:ilvl w:val="0"/>
          <w:numId w:val="26"/>
        </w:numPr>
        <w:shd w:val="clear" w:color="auto" w:fill="FFFFFF"/>
        <w:rPr>
          <w:color w:val="262626"/>
          <w:sz w:val="24"/>
          <w:szCs w:val="24"/>
        </w:rPr>
      </w:pPr>
      <w:r w:rsidRPr="00B17A17">
        <w:rPr>
          <w:color w:val="262626"/>
          <w:sz w:val="24"/>
          <w:szCs w:val="24"/>
        </w:rPr>
        <w:lastRenderedPageBreak/>
        <w:t xml:space="preserve">securing compliance with the LGPS regulations and other legislation relating to the governance and administration of the </w:t>
      </w:r>
      <w:proofErr w:type="gramStart"/>
      <w:r w:rsidRPr="00B17A17">
        <w:rPr>
          <w:color w:val="262626"/>
          <w:sz w:val="24"/>
          <w:szCs w:val="24"/>
        </w:rPr>
        <w:t>LGPS;</w:t>
      </w:r>
      <w:proofErr w:type="gramEnd"/>
    </w:p>
    <w:p w14:paraId="4A7C1A20" w14:textId="77777777" w:rsidR="007F5656" w:rsidRPr="00B17A17" w:rsidRDefault="007F5656" w:rsidP="007F5656">
      <w:pPr>
        <w:pStyle w:val="ListParagraph"/>
        <w:numPr>
          <w:ilvl w:val="0"/>
          <w:numId w:val="26"/>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16030DE0" w14:textId="77777777" w:rsidR="007F5656" w:rsidRPr="00B17A17" w:rsidRDefault="007F5656" w:rsidP="007F5656">
      <w:pPr>
        <w:pStyle w:val="ListParagraph"/>
        <w:numPr>
          <w:ilvl w:val="0"/>
          <w:numId w:val="26"/>
        </w:numPr>
        <w:shd w:val="clear" w:color="auto" w:fill="FFFFFF"/>
        <w:spacing w:after="160"/>
        <w:rPr>
          <w:color w:val="262626"/>
          <w:sz w:val="24"/>
          <w:szCs w:val="24"/>
        </w:rPr>
      </w:pPr>
      <w:r w:rsidRPr="00B17A17">
        <w:rPr>
          <w:color w:val="262626"/>
          <w:sz w:val="24"/>
          <w:szCs w:val="24"/>
        </w:rPr>
        <w:t>such other matters the LGPS regulations may specify.</w:t>
      </w:r>
    </w:p>
    <w:p w14:paraId="0E381276" w14:textId="77777777" w:rsidR="007F5656" w:rsidRDefault="007F5656" w:rsidP="007F5656">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1828E24E" w14:textId="77777777" w:rsidR="007F5656" w:rsidRPr="00B17A17" w:rsidRDefault="007F5656" w:rsidP="007F5656">
      <w:pPr>
        <w:shd w:val="clear" w:color="auto" w:fill="FFFFFF"/>
        <w:ind w:left="720"/>
        <w:jc w:val="both"/>
        <w:rPr>
          <w:rFonts w:cs="Arial"/>
          <w:color w:val="262626"/>
          <w:szCs w:val="24"/>
          <w:lang w:eastAsia="en-GB"/>
        </w:rPr>
      </w:pPr>
    </w:p>
    <w:p w14:paraId="737E8EF8" w14:textId="77777777" w:rsidR="007F5656" w:rsidRPr="00B17A17" w:rsidRDefault="007F5656" w:rsidP="007F5656">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593FA89E" w14:textId="77777777" w:rsidR="007F5656" w:rsidRPr="00B17A17" w:rsidRDefault="007F5656" w:rsidP="007F5656">
      <w:pPr>
        <w:shd w:val="clear" w:color="auto" w:fill="FFFFFF"/>
        <w:ind w:left="720"/>
        <w:rPr>
          <w:rFonts w:cs="Arial"/>
          <w:color w:val="262626"/>
          <w:szCs w:val="24"/>
          <w:lang w:eastAsia="en-GB"/>
        </w:rPr>
      </w:pPr>
      <w:r w:rsidRPr="00B17A17">
        <w:rPr>
          <w:rFonts w:cs="Arial"/>
          <w:color w:val="262626"/>
          <w:szCs w:val="24"/>
          <w:lang w:eastAsia="en-GB"/>
        </w:rPr>
        <w:t> </w:t>
      </w:r>
    </w:p>
    <w:p w14:paraId="7A349E38" w14:textId="26FD99A0"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r w:rsidR="00DF2F30" w:rsidRPr="00B17A17">
        <w:rPr>
          <w:rFonts w:cs="Arial"/>
          <w:color w:val="262626"/>
          <w:szCs w:val="24"/>
          <w:lang w:eastAsia="en-GB"/>
        </w:rPr>
        <w:t>decision-making</w:t>
      </w:r>
      <w:r w:rsidRPr="00B17A17">
        <w:rPr>
          <w:rFonts w:cs="Arial"/>
          <w:color w:val="262626"/>
          <w:szCs w:val="24"/>
          <w:lang w:eastAsia="en-GB"/>
        </w:rPr>
        <w:t xml:space="preserve"> process</w:t>
      </w:r>
    </w:p>
    <w:p w14:paraId="4FA6CEF7"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4D5EC70D"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48071816"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5333E014" w14:textId="77777777" w:rsidR="007F5656" w:rsidRPr="00B17A17" w:rsidRDefault="007F5656" w:rsidP="007F5656">
      <w:pPr>
        <w:shd w:val="clear" w:color="auto" w:fill="FFFFFF"/>
        <w:ind w:left="720"/>
        <w:rPr>
          <w:rFonts w:cs="Arial"/>
          <w:color w:val="262626"/>
          <w:szCs w:val="24"/>
          <w:lang w:eastAsia="en-GB"/>
        </w:rPr>
      </w:pPr>
      <w:r w:rsidRPr="00B17A17">
        <w:rPr>
          <w:rFonts w:cs="Arial"/>
          <w:color w:val="262626"/>
          <w:szCs w:val="24"/>
          <w:lang w:eastAsia="en-GB"/>
        </w:rPr>
        <w:t> </w:t>
      </w:r>
    </w:p>
    <w:p w14:paraId="0828422D" w14:textId="77777777" w:rsidR="007F5656" w:rsidRPr="00B17A17" w:rsidRDefault="007F5656" w:rsidP="007F5656">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0B7F62D6" w14:textId="77777777" w:rsidR="007F5656" w:rsidRPr="00B17A17" w:rsidRDefault="007F5656" w:rsidP="007F5656">
      <w:pPr>
        <w:ind w:left="720"/>
        <w:jc w:val="both"/>
        <w:rPr>
          <w:szCs w:val="24"/>
        </w:rPr>
      </w:pPr>
    </w:p>
    <w:p w14:paraId="30FF5ED8" w14:textId="77777777" w:rsidR="007F5656" w:rsidRPr="00B17A17" w:rsidRDefault="007F5656" w:rsidP="007F5656">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4FE659A9" w14:textId="77777777" w:rsidR="007F5656" w:rsidRDefault="007F5656" w:rsidP="007F5656">
      <w:pPr>
        <w:pStyle w:val="ListParagraph"/>
        <w:rPr>
          <w:szCs w:val="24"/>
        </w:rPr>
      </w:pPr>
    </w:p>
    <w:p w14:paraId="530A9663" w14:textId="77777777" w:rsidR="007F5656" w:rsidRPr="00B17A17" w:rsidRDefault="007F5656" w:rsidP="007F5656">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p w14:paraId="4C08F992" w14:textId="7A76018F" w:rsidR="006B5B52" w:rsidRPr="007F5656" w:rsidRDefault="006B5B52" w:rsidP="007F5656">
      <w:pPr>
        <w:pStyle w:val="Heading2"/>
        <w:spacing w:after="240"/>
      </w:pPr>
      <w:r w:rsidRPr="00ED1007">
        <w:t>Financial Implications</w:t>
      </w:r>
    </w:p>
    <w:p w14:paraId="42CA06A9" w14:textId="2A3E5B29" w:rsidR="006B5B52" w:rsidRPr="00ED1007" w:rsidRDefault="006B5B52" w:rsidP="00EB0AAE">
      <w:pPr>
        <w:numPr>
          <w:ilvl w:val="0"/>
          <w:numId w:val="16"/>
        </w:numPr>
        <w:jc w:val="both"/>
        <w:rPr>
          <w:szCs w:val="24"/>
          <w:lang w:val="en-US"/>
        </w:rPr>
      </w:pPr>
      <w:r w:rsidRPr="00ED1007">
        <w:rPr>
          <w:szCs w:val="24"/>
          <w:lang w:val="en-US"/>
        </w:rPr>
        <w:t>Whilst the performance and effective controls of the fund managers is of paramount importance in the performance of the Pension Fund, there are no</w:t>
      </w:r>
      <w:r w:rsidR="00F6771C" w:rsidRPr="00ED1007">
        <w:rPr>
          <w:szCs w:val="24"/>
          <w:lang w:val="en-US"/>
        </w:rPr>
        <w:t xml:space="preserve"> direct </w:t>
      </w:r>
      <w:r w:rsidRPr="00ED1007">
        <w:rPr>
          <w:szCs w:val="24"/>
          <w:lang w:val="en-US"/>
        </w:rPr>
        <w:t>financial implications arising from this report.</w:t>
      </w:r>
    </w:p>
    <w:p w14:paraId="0568C5C0" w14:textId="77777777" w:rsidR="006B5B52" w:rsidRPr="00ED1007" w:rsidRDefault="006B5B52" w:rsidP="006B5B52">
      <w:pPr>
        <w:pStyle w:val="Heading2"/>
        <w:spacing w:after="240"/>
      </w:pPr>
      <w:r w:rsidRPr="00ED1007">
        <w:t>Risk Management Implications</w:t>
      </w:r>
    </w:p>
    <w:p w14:paraId="34DCB0E4" w14:textId="117AE982" w:rsidR="006B5B52" w:rsidRPr="00ED1007" w:rsidRDefault="006B5B52" w:rsidP="006B5B52">
      <w:pPr>
        <w:ind w:left="720"/>
        <w:jc w:val="both"/>
        <w:rPr>
          <w:szCs w:val="24"/>
          <w:lang w:val="en-US"/>
        </w:rPr>
      </w:pPr>
    </w:p>
    <w:p w14:paraId="21DD527F" w14:textId="7658E7AB" w:rsidR="00F6771C" w:rsidRPr="00ED1007" w:rsidRDefault="00F6771C" w:rsidP="00F6771C">
      <w:pPr>
        <w:numPr>
          <w:ilvl w:val="0"/>
          <w:numId w:val="16"/>
        </w:numPr>
        <w:autoSpaceDE w:val="0"/>
        <w:autoSpaceDN w:val="0"/>
        <w:adjustRightInd w:val="0"/>
        <w:rPr>
          <w:rFonts w:cs="Arial"/>
          <w:color w:val="000000"/>
          <w:szCs w:val="24"/>
          <w:lang w:eastAsia="en-GB"/>
        </w:rPr>
      </w:pPr>
      <w:r w:rsidRPr="00ED1007">
        <w:t xml:space="preserve">The Pension Fund’s Risk Register is reviewed regularly by both the Pension Fund Committee and by the Board. The </w:t>
      </w:r>
      <w:r w:rsidR="0064241B" w:rsidRPr="00ED1007">
        <w:t xml:space="preserve">next review will be considered by the Board at </w:t>
      </w:r>
      <w:r w:rsidR="00260000" w:rsidRPr="00ED1007">
        <w:t>this meeting.</w:t>
      </w:r>
      <w:r w:rsidRPr="00ED1007">
        <w:t xml:space="preserve"> </w:t>
      </w:r>
    </w:p>
    <w:p w14:paraId="42B288D6" w14:textId="77777777" w:rsidR="00F6771C" w:rsidRPr="00ED1007" w:rsidRDefault="00F6771C" w:rsidP="00F6771C">
      <w:pPr>
        <w:autoSpaceDE w:val="0"/>
        <w:autoSpaceDN w:val="0"/>
        <w:adjustRightInd w:val="0"/>
        <w:ind w:left="426"/>
        <w:rPr>
          <w:rFonts w:cs="Arial"/>
          <w:color w:val="000000"/>
          <w:szCs w:val="24"/>
          <w:lang w:eastAsia="en-GB"/>
        </w:rPr>
      </w:pPr>
    </w:p>
    <w:p w14:paraId="0E59B0B9" w14:textId="56384425" w:rsidR="00F6771C" w:rsidRPr="00ED1007" w:rsidRDefault="00F6771C" w:rsidP="00F6771C">
      <w:pPr>
        <w:numPr>
          <w:ilvl w:val="0"/>
          <w:numId w:val="16"/>
        </w:numPr>
        <w:jc w:val="both"/>
      </w:pPr>
      <w:r w:rsidRPr="00ED1007">
        <w:t>There are no specific risk management implications arising from this report. The level of risk to which its investments are exposed is a key component in developing the Fund’s investment strategy</w:t>
      </w:r>
    </w:p>
    <w:p w14:paraId="16855B49" w14:textId="77777777" w:rsidR="00C55540" w:rsidRPr="00ED1007" w:rsidRDefault="00C55540" w:rsidP="00C55540">
      <w:pPr>
        <w:pStyle w:val="Heading2"/>
        <w:keepNext/>
        <w:spacing w:after="240"/>
      </w:pPr>
      <w:r w:rsidRPr="00ED1007">
        <w:lastRenderedPageBreak/>
        <w:t xml:space="preserve">Equalities implications / Public Sector Equality Duty </w:t>
      </w:r>
    </w:p>
    <w:p w14:paraId="150BCE92" w14:textId="54EFFC9B" w:rsidR="00C55540" w:rsidRPr="00ED1007" w:rsidRDefault="00C55540" w:rsidP="00C55540">
      <w:pPr>
        <w:pStyle w:val="ListParagraph"/>
        <w:numPr>
          <w:ilvl w:val="0"/>
          <w:numId w:val="16"/>
        </w:numPr>
        <w:rPr>
          <w:sz w:val="24"/>
          <w:szCs w:val="24"/>
        </w:rPr>
      </w:pPr>
      <w:r w:rsidRPr="00ED1007">
        <w:rPr>
          <w:sz w:val="24"/>
          <w:szCs w:val="24"/>
        </w:rPr>
        <w:t xml:space="preserve">Was an Equality Impact Assessment carried out?  No </w:t>
      </w:r>
    </w:p>
    <w:p w14:paraId="010082B9" w14:textId="77777777" w:rsidR="00C55540" w:rsidRPr="00ED1007" w:rsidRDefault="00C55540" w:rsidP="00C55540">
      <w:pPr>
        <w:rPr>
          <w:szCs w:val="24"/>
        </w:rPr>
      </w:pPr>
    </w:p>
    <w:p w14:paraId="6F845081" w14:textId="32E69A0F" w:rsidR="00C55540" w:rsidRPr="00ED1007" w:rsidRDefault="00C55540" w:rsidP="0036007A">
      <w:pPr>
        <w:numPr>
          <w:ilvl w:val="0"/>
          <w:numId w:val="16"/>
        </w:numPr>
        <w:jc w:val="both"/>
        <w:rPr>
          <w:szCs w:val="24"/>
        </w:rPr>
      </w:pPr>
      <w:r w:rsidRPr="00ED1007">
        <w:rPr>
          <w:szCs w:val="24"/>
        </w:rPr>
        <w:t xml:space="preserve">There are no direct equalities implications arising from this report. </w:t>
      </w:r>
    </w:p>
    <w:p w14:paraId="11BF41CC" w14:textId="77777777" w:rsidR="002A2389" w:rsidRPr="00ED1007" w:rsidRDefault="002A2389" w:rsidP="00912904">
      <w:pPr>
        <w:pStyle w:val="Heading2"/>
      </w:pPr>
      <w:r w:rsidRPr="00ED1007">
        <w:t>Section 3 - Statutory Officer Clearance</w:t>
      </w:r>
    </w:p>
    <w:p w14:paraId="077143F8" w14:textId="77777777" w:rsidR="002A2389" w:rsidRPr="00ED1007" w:rsidRDefault="002A2389" w:rsidP="008D1750">
      <w:pPr>
        <w:keepNext/>
        <w:rPr>
          <w:rFonts w:cs="Arial"/>
        </w:rPr>
      </w:pPr>
    </w:p>
    <w:p w14:paraId="1F493ADE" w14:textId="2866BC7D" w:rsidR="00912904" w:rsidRPr="00ED1007" w:rsidRDefault="00912904" w:rsidP="00912904">
      <w:pPr>
        <w:rPr>
          <w:sz w:val="28"/>
        </w:rPr>
      </w:pPr>
      <w:r w:rsidRPr="00ED1007">
        <w:rPr>
          <w:b/>
          <w:sz w:val="28"/>
        </w:rPr>
        <w:t xml:space="preserve">Statutory Officer:  </w:t>
      </w:r>
      <w:r w:rsidR="00441D9B">
        <w:rPr>
          <w:b/>
          <w:sz w:val="28"/>
        </w:rPr>
        <w:t>Dawn Calvert</w:t>
      </w:r>
    </w:p>
    <w:p w14:paraId="57640BD9" w14:textId="1B3D01B2" w:rsidR="00912904" w:rsidRPr="00ED1007" w:rsidRDefault="00912904" w:rsidP="00912904">
      <w:r w:rsidRPr="00ED1007">
        <w:t>Signed by the Chief Financial Officer</w:t>
      </w:r>
    </w:p>
    <w:p w14:paraId="4E34EDB5" w14:textId="69FB4752" w:rsidR="00D365CC" w:rsidRPr="00ED1007" w:rsidRDefault="00912904" w:rsidP="00DF2F30">
      <w:pPr>
        <w:tabs>
          <w:tab w:val="left" w:pos="1520"/>
        </w:tabs>
        <w:spacing w:after="480"/>
        <w:rPr>
          <w:b/>
          <w:sz w:val="28"/>
        </w:rPr>
      </w:pPr>
      <w:r w:rsidRPr="00ED1007">
        <w:rPr>
          <w:b/>
          <w:sz w:val="28"/>
        </w:rPr>
        <w:t xml:space="preserve">Date: </w:t>
      </w:r>
      <w:r w:rsidR="00441D9B">
        <w:rPr>
          <w:b/>
          <w:sz w:val="28"/>
        </w:rPr>
        <w:t>21/11/2022</w:t>
      </w:r>
    </w:p>
    <w:p w14:paraId="2586CC50" w14:textId="4BA8BB7F" w:rsidR="00912904" w:rsidRPr="00ED1007" w:rsidRDefault="00912904" w:rsidP="00912904">
      <w:pPr>
        <w:rPr>
          <w:sz w:val="28"/>
        </w:rPr>
      </w:pPr>
      <w:r w:rsidRPr="00ED1007">
        <w:rPr>
          <w:b/>
          <w:sz w:val="28"/>
        </w:rPr>
        <w:t xml:space="preserve">Statutory Officer:  </w:t>
      </w:r>
      <w:r w:rsidR="001F11E4">
        <w:rPr>
          <w:b/>
          <w:sz w:val="28"/>
        </w:rPr>
        <w:t>Sharon Clarke</w:t>
      </w:r>
    </w:p>
    <w:p w14:paraId="3F58D77A" w14:textId="16A5F915" w:rsidR="00912904" w:rsidRPr="00ED1007" w:rsidRDefault="00912904" w:rsidP="00912904">
      <w:r w:rsidRPr="00ED1007">
        <w:t>Signed on behalf of the Monitoring Officer</w:t>
      </w:r>
    </w:p>
    <w:p w14:paraId="61F8C7E6" w14:textId="3449805F" w:rsidR="00912904" w:rsidRPr="00ED1007" w:rsidRDefault="00912904" w:rsidP="005740D4">
      <w:pPr>
        <w:tabs>
          <w:tab w:val="left" w:pos="1550"/>
        </w:tabs>
        <w:spacing w:after="480"/>
        <w:rPr>
          <w:sz w:val="28"/>
        </w:rPr>
      </w:pPr>
      <w:r w:rsidRPr="00ED1007">
        <w:rPr>
          <w:b/>
          <w:sz w:val="28"/>
        </w:rPr>
        <w:t>Date</w:t>
      </w:r>
      <w:r w:rsidR="004D6347" w:rsidRPr="00ED1007">
        <w:rPr>
          <w:b/>
          <w:sz w:val="28"/>
        </w:rPr>
        <w:t xml:space="preserve">: </w:t>
      </w:r>
      <w:r w:rsidR="001F11E4">
        <w:rPr>
          <w:b/>
          <w:sz w:val="28"/>
        </w:rPr>
        <w:t>17/11/2022</w:t>
      </w:r>
    </w:p>
    <w:p w14:paraId="52D95F67" w14:textId="65031445" w:rsidR="009F30CC" w:rsidRPr="00ED1007" w:rsidRDefault="004A4A1D" w:rsidP="00912904">
      <w:pPr>
        <w:rPr>
          <w:b/>
          <w:sz w:val="28"/>
        </w:rPr>
      </w:pPr>
      <w:r w:rsidRPr="00ED1007">
        <w:rPr>
          <w:b/>
          <w:sz w:val="28"/>
        </w:rPr>
        <w:t>Chief</w:t>
      </w:r>
      <w:r w:rsidR="00912904" w:rsidRPr="00ED1007">
        <w:rPr>
          <w:b/>
          <w:sz w:val="28"/>
        </w:rPr>
        <w:t xml:space="preserve"> Officer:  </w:t>
      </w:r>
      <w:r w:rsidR="00441D9B">
        <w:rPr>
          <w:b/>
          <w:sz w:val="28"/>
        </w:rPr>
        <w:t>Dawn Calvert</w:t>
      </w:r>
    </w:p>
    <w:p w14:paraId="12E4D11B" w14:textId="21A8791E" w:rsidR="00912904" w:rsidRPr="00ED1007" w:rsidRDefault="00365D29" w:rsidP="00912904">
      <w:r w:rsidRPr="00ED1007">
        <w:t>Signed</w:t>
      </w:r>
      <w:r w:rsidR="00912904" w:rsidRPr="00ED1007">
        <w:t xml:space="preserve"> </w:t>
      </w:r>
      <w:r w:rsidR="00581AB1" w:rsidRPr="00ED1007">
        <w:t>on behalf of</w:t>
      </w:r>
      <w:r w:rsidR="00912904" w:rsidRPr="00ED1007">
        <w:t xml:space="preserve"> the C</w:t>
      </w:r>
      <w:r w:rsidR="001C45FF">
        <w:t>hief Executive</w:t>
      </w:r>
    </w:p>
    <w:p w14:paraId="21482980" w14:textId="27090B43" w:rsidR="00912904" w:rsidRPr="00ED1007" w:rsidRDefault="00912904" w:rsidP="00441D9B">
      <w:pPr>
        <w:tabs>
          <w:tab w:val="left" w:pos="1760"/>
        </w:tabs>
        <w:spacing w:after="480"/>
        <w:rPr>
          <w:sz w:val="28"/>
        </w:rPr>
      </w:pPr>
      <w:r w:rsidRPr="00ED1007">
        <w:rPr>
          <w:b/>
          <w:sz w:val="28"/>
        </w:rPr>
        <w:t xml:space="preserve">Date:  </w:t>
      </w:r>
      <w:r w:rsidR="00441D9B">
        <w:rPr>
          <w:b/>
          <w:sz w:val="28"/>
        </w:rPr>
        <w:t>21/11/2022</w:t>
      </w:r>
    </w:p>
    <w:p w14:paraId="686CE5D8" w14:textId="77777777" w:rsidR="00912904" w:rsidRPr="00ED1007" w:rsidRDefault="00912904" w:rsidP="00912904">
      <w:pPr>
        <w:pStyle w:val="Heading2"/>
        <w:spacing w:after="240"/>
      </w:pPr>
      <w:r w:rsidRPr="00ED1007">
        <w:t>Mandatory Checks</w:t>
      </w:r>
    </w:p>
    <w:p w14:paraId="71FBC41D" w14:textId="7581A8CD" w:rsidR="00912904" w:rsidRPr="00ED1007" w:rsidRDefault="00912904" w:rsidP="00C55540">
      <w:pPr>
        <w:pStyle w:val="Heading3"/>
        <w:ind w:left="0" w:firstLine="0"/>
        <w:rPr>
          <w:i/>
          <w:color w:val="FF0000"/>
          <w:szCs w:val="24"/>
        </w:rPr>
      </w:pPr>
      <w:r w:rsidRPr="00ED1007">
        <w:rPr>
          <w:sz w:val="28"/>
        </w:rPr>
        <w:t xml:space="preserve">Ward Councillors notified:  </w:t>
      </w:r>
      <w:r w:rsidRPr="00DF2F30">
        <w:rPr>
          <w:b w:val="0"/>
          <w:bCs w:val="0"/>
          <w:sz w:val="28"/>
        </w:rPr>
        <w:t>N</w:t>
      </w:r>
      <w:r w:rsidR="00F6771C" w:rsidRPr="00DF2F30">
        <w:rPr>
          <w:b w:val="0"/>
          <w:bCs w:val="0"/>
          <w:sz w:val="28"/>
        </w:rPr>
        <w:t>ot Applicable</w:t>
      </w:r>
      <w:r w:rsidRPr="00ED1007">
        <w:rPr>
          <w:i/>
          <w:color w:val="FF0000"/>
          <w:szCs w:val="24"/>
        </w:rPr>
        <w:t xml:space="preserve"> </w:t>
      </w:r>
    </w:p>
    <w:p w14:paraId="629F8205" w14:textId="77777777" w:rsidR="002A2389" w:rsidRPr="00ED1007" w:rsidRDefault="002A2389" w:rsidP="00912904">
      <w:pPr>
        <w:pStyle w:val="Heading2"/>
        <w:keepNext/>
        <w:spacing w:after="240"/>
      </w:pPr>
      <w:r w:rsidRPr="00ED1007">
        <w:t>Section 4 - Contact Details and Background Papers</w:t>
      </w:r>
    </w:p>
    <w:p w14:paraId="373FA8D5" w14:textId="24AB96FD" w:rsidR="00C55540" w:rsidRPr="00ED1007" w:rsidRDefault="002A2389" w:rsidP="00C55540">
      <w:pPr>
        <w:pStyle w:val="Infotext"/>
        <w:rPr>
          <w:sz w:val="24"/>
          <w:szCs w:val="24"/>
        </w:rPr>
      </w:pPr>
      <w:r w:rsidRPr="00ED1007">
        <w:rPr>
          <w:b/>
        </w:rPr>
        <w:t>Contact:</w:t>
      </w:r>
      <w:r w:rsidRPr="00ED1007">
        <w:t xml:space="preserve">  </w:t>
      </w:r>
      <w:r w:rsidR="00C55540" w:rsidRPr="00ED1007">
        <w:rPr>
          <w:sz w:val="24"/>
          <w:szCs w:val="24"/>
        </w:rPr>
        <w:t xml:space="preserve">Jeremy Randall – Interim Pensions </w:t>
      </w:r>
      <w:r w:rsidR="00CE039D" w:rsidRPr="00ED1007">
        <w:rPr>
          <w:sz w:val="24"/>
          <w:szCs w:val="24"/>
        </w:rPr>
        <w:t>Manager</w:t>
      </w:r>
    </w:p>
    <w:p w14:paraId="1C4BF2D4" w14:textId="65CC335C" w:rsidR="002A2389" w:rsidRPr="00ED1007" w:rsidRDefault="00C55540" w:rsidP="00C55540">
      <w:pPr>
        <w:pStyle w:val="Infotext"/>
        <w:rPr>
          <w:rStyle w:val="Hyperlink"/>
          <w:sz w:val="24"/>
          <w:szCs w:val="24"/>
        </w:rPr>
      </w:pPr>
      <w:r w:rsidRPr="00ED1007">
        <w:rPr>
          <w:sz w:val="24"/>
          <w:szCs w:val="24"/>
        </w:rPr>
        <w:t xml:space="preserve">Email: </w:t>
      </w:r>
      <w:hyperlink r:id="rId8" w:history="1">
        <w:r w:rsidRPr="00ED1007">
          <w:rPr>
            <w:rStyle w:val="Hyperlink"/>
            <w:sz w:val="24"/>
            <w:szCs w:val="24"/>
          </w:rPr>
          <w:t>Jeremy.randall@harrow.gov.uk</w:t>
        </w:r>
      </w:hyperlink>
    </w:p>
    <w:p w14:paraId="65DB4D40" w14:textId="2D7010B6" w:rsidR="00CE039D" w:rsidRPr="00ED1007" w:rsidRDefault="00CE039D" w:rsidP="00C55540">
      <w:pPr>
        <w:pStyle w:val="Infotext"/>
      </w:pPr>
      <w:r w:rsidRPr="00ED1007">
        <w:rPr>
          <w:rStyle w:val="Hyperlink"/>
          <w:color w:val="auto"/>
          <w:sz w:val="24"/>
          <w:szCs w:val="24"/>
          <w:u w:val="none"/>
        </w:rPr>
        <w:t>Telephone: 020 8736 6552</w:t>
      </w:r>
    </w:p>
    <w:p w14:paraId="695B009D" w14:textId="1E187BE9" w:rsidR="002A2389" w:rsidRDefault="002A2389" w:rsidP="00C55540">
      <w:pPr>
        <w:pStyle w:val="Infotext"/>
        <w:spacing w:before="360"/>
      </w:pPr>
      <w:r w:rsidRPr="00ED1007">
        <w:rPr>
          <w:b/>
        </w:rPr>
        <w:t>Background Papers</w:t>
      </w:r>
      <w:r w:rsidRPr="00ED1007">
        <w:t xml:space="preserve">:  </w:t>
      </w:r>
      <w:r w:rsidR="00C55540" w:rsidRPr="00ED100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60AA4"/>
    <w:multiLevelType w:val="hybridMultilevel"/>
    <w:tmpl w:val="CB728E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49E31D5"/>
    <w:multiLevelType w:val="hybridMultilevel"/>
    <w:tmpl w:val="E7AAE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32052"/>
    <w:multiLevelType w:val="hybridMultilevel"/>
    <w:tmpl w:val="4C3E49F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E02E1"/>
    <w:multiLevelType w:val="hybridMultilevel"/>
    <w:tmpl w:val="8AA2D900"/>
    <w:lvl w:ilvl="0" w:tplc="0944D776">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0"/>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7"/>
  </w:num>
  <w:num w:numId="9">
    <w:abstractNumId w:val="5"/>
  </w:num>
  <w:num w:numId="10">
    <w:abstractNumId w:val="19"/>
  </w:num>
  <w:num w:numId="11">
    <w:abstractNumId w:val="25"/>
  </w:num>
  <w:num w:numId="12">
    <w:abstractNumId w:val="17"/>
  </w:num>
  <w:num w:numId="13">
    <w:abstractNumId w:val="4"/>
  </w:num>
  <w:num w:numId="14">
    <w:abstractNumId w:val="8"/>
  </w:num>
  <w:num w:numId="15">
    <w:abstractNumId w:val="14"/>
  </w:num>
  <w:num w:numId="16">
    <w:abstractNumId w:val="13"/>
  </w:num>
  <w:num w:numId="17">
    <w:abstractNumId w:val="1"/>
  </w:num>
  <w:num w:numId="18">
    <w:abstractNumId w:val="10"/>
  </w:num>
  <w:num w:numId="19">
    <w:abstractNumId w:val="12"/>
  </w:num>
  <w:num w:numId="20">
    <w:abstractNumId w:val="24"/>
  </w:num>
  <w:num w:numId="21">
    <w:abstractNumId w:val="1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21"/>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34EE1"/>
    <w:rsid w:val="00057F10"/>
    <w:rsid w:val="000633A2"/>
    <w:rsid w:val="00070F70"/>
    <w:rsid w:val="00071EB4"/>
    <w:rsid w:val="00077298"/>
    <w:rsid w:val="000A58A1"/>
    <w:rsid w:val="000A6659"/>
    <w:rsid w:val="000B0E6F"/>
    <w:rsid w:val="000B6DBB"/>
    <w:rsid w:val="000D2BF2"/>
    <w:rsid w:val="000D5870"/>
    <w:rsid w:val="000F65C0"/>
    <w:rsid w:val="00110A2F"/>
    <w:rsid w:val="001167DE"/>
    <w:rsid w:val="00133785"/>
    <w:rsid w:val="00134517"/>
    <w:rsid w:val="00182AA1"/>
    <w:rsid w:val="001939BA"/>
    <w:rsid w:val="001A472C"/>
    <w:rsid w:val="001A6EB0"/>
    <w:rsid w:val="001B441D"/>
    <w:rsid w:val="001C4374"/>
    <w:rsid w:val="001C45FF"/>
    <w:rsid w:val="001C5225"/>
    <w:rsid w:val="001C6F48"/>
    <w:rsid w:val="001E0219"/>
    <w:rsid w:val="001F11E4"/>
    <w:rsid w:val="001F6722"/>
    <w:rsid w:val="00213BE7"/>
    <w:rsid w:val="00231A1D"/>
    <w:rsid w:val="00244120"/>
    <w:rsid w:val="00251F95"/>
    <w:rsid w:val="00260000"/>
    <w:rsid w:val="00290AFE"/>
    <w:rsid w:val="00293F9F"/>
    <w:rsid w:val="002A2389"/>
    <w:rsid w:val="002A2C3A"/>
    <w:rsid w:val="002A5BDC"/>
    <w:rsid w:val="002C08E2"/>
    <w:rsid w:val="002C1794"/>
    <w:rsid w:val="002D2FC5"/>
    <w:rsid w:val="002E6637"/>
    <w:rsid w:val="002E77E3"/>
    <w:rsid w:val="003315E4"/>
    <w:rsid w:val="00332947"/>
    <w:rsid w:val="00333EB4"/>
    <w:rsid w:val="00345915"/>
    <w:rsid w:val="0035176F"/>
    <w:rsid w:val="00365D29"/>
    <w:rsid w:val="003706EA"/>
    <w:rsid w:val="00374F22"/>
    <w:rsid w:val="003D2FFE"/>
    <w:rsid w:val="003F01D0"/>
    <w:rsid w:val="00400032"/>
    <w:rsid w:val="0042394B"/>
    <w:rsid w:val="00430337"/>
    <w:rsid w:val="00441D9B"/>
    <w:rsid w:val="0046775A"/>
    <w:rsid w:val="00473B08"/>
    <w:rsid w:val="00474B5F"/>
    <w:rsid w:val="00481F2C"/>
    <w:rsid w:val="0049221F"/>
    <w:rsid w:val="004A3CE6"/>
    <w:rsid w:val="004A4A1D"/>
    <w:rsid w:val="004B2C9D"/>
    <w:rsid w:val="004B4A47"/>
    <w:rsid w:val="004B5D7B"/>
    <w:rsid w:val="004D6347"/>
    <w:rsid w:val="004E667D"/>
    <w:rsid w:val="004E6AF9"/>
    <w:rsid w:val="005031DF"/>
    <w:rsid w:val="00540AA5"/>
    <w:rsid w:val="00542378"/>
    <w:rsid w:val="00567D42"/>
    <w:rsid w:val="005740D4"/>
    <w:rsid w:val="00581AB1"/>
    <w:rsid w:val="0059168C"/>
    <w:rsid w:val="00597314"/>
    <w:rsid w:val="005A61AF"/>
    <w:rsid w:val="005C19FD"/>
    <w:rsid w:val="005D0886"/>
    <w:rsid w:val="005E384D"/>
    <w:rsid w:val="005F2181"/>
    <w:rsid w:val="005F724B"/>
    <w:rsid w:val="00625DFF"/>
    <w:rsid w:val="0063072B"/>
    <w:rsid w:val="0064241B"/>
    <w:rsid w:val="00662891"/>
    <w:rsid w:val="006628B7"/>
    <w:rsid w:val="00675FCB"/>
    <w:rsid w:val="006809C4"/>
    <w:rsid w:val="006B1C6D"/>
    <w:rsid w:val="006B3942"/>
    <w:rsid w:val="006B5B52"/>
    <w:rsid w:val="006C3914"/>
    <w:rsid w:val="006D3648"/>
    <w:rsid w:val="006E25E2"/>
    <w:rsid w:val="006E48DE"/>
    <w:rsid w:val="0074184E"/>
    <w:rsid w:val="00743829"/>
    <w:rsid w:val="0075166A"/>
    <w:rsid w:val="00751DF2"/>
    <w:rsid w:val="00755F8D"/>
    <w:rsid w:val="00777E2D"/>
    <w:rsid w:val="00796503"/>
    <w:rsid w:val="007B1B1A"/>
    <w:rsid w:val="007B524B"/>
    <w:rsid w:val="007D2BDA"/>
    <w:rsid w:val="007D56C8"/>
    <w:rsid w:val="007E3934"/>
    <w:rsid w:val="007E7303"/>
    <w:rsid w:val="007F5656"/>
    <w:rsid w:val="008212A0"/>
    <w:rsid w:val="00821C13"/>
    <w:rsid w:val="00837F53"/>
    <w:rsid w:val="00845600"/>
    <w:rsid w:val="008D1750"/>
    <w:rsid w:val="008D7800"/>
    <w:rsid w:val="008E2910"/>
    <w:rsid w:val="008E4913"/>
    <w:rsid w:val="008E6C0C"/>
    <w:rsid w:val="00900464"/>
    <w:rsid w:val="0090100E"/>
    <w:rsid w:val="00912904"/>
    <w:rsid w:val="00933709"/>
    <w:rsid w:val="0093767E"/>
    <w:rsid w:val="00972A02"/>
    <w:rsid w:val="00976004"/>
    <w:rsid w:val="009824C9"/>
    <w:rsid w:val="0099517C"/>
    <w:rsid w:val="009A0937"/>
    <w:rsid w:val="009A42BE"/>
    <w:rsid w:val="009B2ECD"/>
    <w:rsid w:val="009B7914"/>
    <w:rsid w:val="009D1F7E"/>
    <w:rsid w:val="009F30CC"/>
    <w:rsid w:val="009F430B"/>
    <w:rsid w:val="00A160B2"/>
    <w:rsid w:val="00A34E82"/>
    <w:rsid w:val="00A360D6"/>
    <w:rsid w:val="00A42A08"/>
    <w:rsid w:val="00A5339D"/>
    <w:rsid w:val="00A566E7"/>
    <w:rsid w:val="00A644A0"/>
    <w:rsid w:val="00A940D3"/>
    <w:rsid w:val="00A96FCA"/>
    <w:rsid w:val="00AA4BE8"/>
    <w:rsid w:val="00AB54A5"/>
    <w:rsid w:val="00AC0AAB"/>
    <w:rsid w:val="00AC7BA9"/>
    <w:rsid w:val="00AE19AC"/>
    <w:rsid w:val="00AF03DC"/>
    <w:rsid w:val="00AF5A3E"/>
    <w:rsid w:val="00B0425E"/>
    <w:rsid w:val="00B67880"/>
    <w:rsid w:val="00B900E2"/>
    <w:rsid w:val="00B9118E"/>
    <w:rsid w:val="00BA423E"/>
    <w:rsid w:val="00BD02E1"/>
    <w:rsid w:val="00BD6115"/>
    <w:rsid w:val="00BD684A"/>
    <w:rsid w:val="00BF6C03"/>
    <w:rsid w:val="00C32DAE"/>
    <w:rsid w:val="00C34564"/>
    <w:rsid w:val="00C40270"/>
    <w:rsid w:val="00C40E24"/>
    <w:rsid w:val="00C55540"/>
    <w:rsid w:val="00C61B80"/>
    <w:rsid w:val="00C92D9A"/>
    <w:rsid w:val="00C96EF5"/>
    <w:rsid w:val="00CB4353"/>
    <w:rsid w:val="00CE039D"/>
    <w:rsid w:val="00CE4DD2"/>
    <w:rsid w:val="00D25064"/>
    <w:rsid w:val="00D32B51"/>
    <w:rsid w:val="00D34668"/>
    <w:rsid w:val="00D365CC"/>
    <w:rsid w:val="00D3740E"/>
    <w:rsid w:val="00D40335"/>
    <w:rsid w:val="00D40976"/>
    <w:rsid w:val="00D82F57"/>
    <w:rsid w:val="00D841A5"/>
    <w:rsid w:val="00D914D2"/>
    <w:rsid w:val="00DA25DB"/>
    <w:rsid w:val="00DB0791"/>
    <w:rsid w:val="00DC2881"/>
    <w:rsid w:val="00DD4251"/>
    <w:rsid w:val="00DE6259"/>
    <w:rsid w:val="00DF2F30"/>
    <w:rsid w:val="00E02B50"/>
    <w:rsid w:val="00E03F11"/>
    <w:rsid w:val="00E06DC8"/>
    <w:rsid w:val="00E220B5"/>
    <w:rsid w:val="00E33D93"/>
    <w:rsid w:val="00E609EF"/>
    <w:rsid w:val="00E8515B"/>
    <w:rsid w:val="00E90AFF"/>
    <w:rsid w:val="00EC05E5"/>
    <w:rsid w:val="00ED1007"/>
    <w:rsid w:val="00EF2F91"/>
    <w:rsid w:val="00F1403C"/>
    <w:rsid w:val="00F32687"/>
    <w:rsid w:val="00F33EE3"/>
    <w:rsid w:val="00F4213B"/>
    <w:rsid w:val="00F45A59"/>
    <w:rsid w:val="00F6771C"/>
    <w:rsid w:val="00F77A86"/>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table" w:styleId="TableGrid">
    <w:name w:val="Table Grid"/>
    <w:basedOn w:val="TableNormal"/>
    <w:rsid w:val="00751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85850">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1349</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8610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6</cp:revision>
  <cp:lastPrinted>2007-07-12T09:53:00Z</cp:lastPrinted>
  <dcterms:created xsi:type="dcterms:W3CDTF">2022-11-17T11:38:00Z</dcterms:created>
  <dcterms:modified xsi:type="dcterms:W3CDTF">2022-11-22T09:55:00Z</dcterms:modified>
</cp:coreProperties>
</file>